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56E62">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A56E62">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20.04.2026</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A56E62">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Сiгнаєвський Ю.М.</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000000" w:rsidRDefault="00A56E62">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A56E6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A56E6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"ЯКУШИНЕЦЬКЕ" (01546988)</w:t>
      </w:r>
    </w:p>
    <w:p w:rsidR="00000000" w:rsidRDefault="00A56E6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2025 рік</w:t>
      </w:r>
    </w:p>
    <w:p w:rsidR="00000000" w:rsidRDefault="00A56E62">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20.04.2026, Затвердити рiчну iнформацiю за 2025 рiк, розмiстити на власному сайтi та подати до НКЦ</w:t>
      </w:r>
      <w:r>
        <w:rPr>
          <w:rFonts w:ascii="Times New Roman CYR" w:hAnsi="Times New Roman CYR" w:cs="Times New Roman CYR"/>
          <w:sz w:val="24"/>
          <w:szCs w:val="24"/>
        </w:rPr>
        <w:t>ПФР.</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w:t>
      </w:r>
      <w:r>
        <w:rPr>
          <w:rFonts w:ascii="Times New Roman CYR" w:hAnsi="Times New Roman CYR" w:cs="Times New Roman CYR"/>
          <w:sz w:val="24"/>
          <w:szCs w:val="24"/>
        </w:rPr>
        <w:t>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w:t>
            </w:r>
            <w:r>
              <w:rPr>
                <w:rFonts w:ascii="Times New Roman CYR" w:hAnsi="Times New Roman CYR" w:cs="Times New Roman CYR"/>
                <w:sz w:val="24"/>
                <w:szCs w:val="24"/>
              </w:rPr>
              <w:t>ному вебсайті емітента</w:t>
            </w:r>
          </w:p>
        </w:tc>
        <w:tc>
          <w:tcPr>
            <w:tcW w:w="5165" w:type="dxa"/>
            <w:tcBorders>
              <w:top w:val="nil"/>
              <w:left w:val="nil"/>
              <w:bottom w:val="single" w:sz="6" w:space="0" w:color="auto"/>
              <w:right w:val="nil"/>
            </w:tcBorders>
            <w:vAlign w:val="bottom"/>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http://www.yakushinecke.pat.ua/</w:t>
            </w:r>
          </w:p>
        </w:tc>
        <w:tc>
          <w:tcPr>
            <w:tcW w:w="1885" w:type="dxa"/>
            <w:tcBorders>
              <w:top w:val="nil"/>
              <w:left w:val="nil"/>
              <w:bottom w:val="single" w:sz="6" w:space="0" w:color="auto"/>
              <w:right w:val="nil"/>
            </w:tcBorders>
            <w:vAlign w:val="bottom"/>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20.04.2026</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A56E62">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A56E62">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20" w:footer="720" w:gutter="0"/>
          <w:cols w:space="720"/>
          <w:noEndnote/>
        </w:sectPr>
      </w:pPr>
    </w:p>
    <w:p w:rsidR="00000000" w:rsidRDefault="00A56E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регулярну рiчну iнформацiю: </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iнформацiю щодо посади</w:t>
      </w:r>
      <w:r>
        <w:rPr>
          <w:rFonts w:ascii="Times New Roman CYR" w:hAnsi="Times New Roman CYR" w:cs="Times New Roman CYR"/>
          <w:sz w:val="24"/>
          <w:szCs w:val="24"/>
        </w:rPr>
        <w:t xml:space="preserve"> корпоративного секретаря;</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володiння посадовими особами акцiями емiтента</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одержанi лiцензiї на окремi види дiяльностi;</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iнформацiю про будь-якi винагороди або компенсацiї, якi мають бути виплаченi посадовим особам емiт</w:t>
      </w:r>
      <w:r>
        <w:rPr>
          <w:rFonts w:ascii="Times New Roman CYR" w:hAnsi="Times New Roman CYR" w:cs="Times New Roman CYR"/>
          <w:sz w:val="24"/>
          <w:szCs w:val="24"/>
        </w:rPr>
        <w:t>ента в разi їх звiльнення;</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змiну акцiонерiв, яким належать голосуючi акцiї, розмiр пакета яких стає бiльшим, меншим або дорiвнює пороговому значенню пакета акцiй;</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змiну осiб, яким належить право голосу за акцiями, сумарн</w:t>
      </w:r>
      <w:r>
        <w:rPr>
          <w:rFonts w:ascii="Times New Roman CYR" w:hAnsi="Times New Roman CYR" w:cs="Times New Roman CYR"/>
          <w:sz w:val="24"/>
          <w:szCs w:val="24"/>
        </w:rPr>
        <w:t>а кiлькiсть прав за якими стає бiльшою, меншою або дорiвнює пороговому значенню пакета акцiй;</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перелiк власникiв пакетiв 5 i бiльше вiдсоткiв акцiй iз зазначенням вiдсотка, кiлькостi, типу та/або класу належних їм акцiй;</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вчинення значни</w:t>
      </w:r>
      <w:r>
        <w:rPr>
          <w:rFonts w:ascii="Times New Roman CYR" w:hAnsi="Times New Roman CYR" w:cs="Times New Roman CYR"/>
          <w:sz w:val="24"/>
          <w:szCs w:val="24"/>
        </w:rPr>
        <w:t>х правочинiв або правочинiв, щодо вчинення яких є заiнтересованiсть, або про попереднє надання згоди на вчинення значних правочинiв;</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iнформацiя про вчинення правочинiв щодо яких є заiнтересованiсть, про осiб, заiнтересованих у вчиненнi емiтентом правочи</w:t>
      </w:r>
      <w:r>
        <w:rPr>
          <w:rFonts w:ascii="Times New Roman CYR" w:hAnsi="Times New Roman CYR" w:cs="Times New Roman CYR"/>
          <w:sz w:val="24"/>
          <w:szCs w:val="24"/>
        </w:rPr>
        <w:t>нiв iз заiнтересованiстю, та обставини, iснування яких створює заiнтересованiсть;</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звiт про платежi на користь держави вiдповiдно до Закону про бухгалтерський облiк;</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звiт про сталий розвиток.</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Крiм того, Приватнi акцiонернi товариства мають право роз</w:t>
      </w:r>
      <w:r>
        <w:rPr>
          <w:rFonts w:ascii="Times New Roman CYR" w:hAnsi="Times New Roman CYR" w:cs="Times New Roman CYR"/>
          <w:sz w:val="24"/>
          <w:szCs w:val="24"/>
        </w:rPr>
        <w:t>кривати рiчну фiнансову звiтнiсть без перевiрки суб'єктом аудиторської дiяльностi. Тому в звiтi вiдсутнiй Аудиторський звiт до рiчної фiнасової звiтностi.</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складi рiчного звiту емiтента вiдсутня iнформацiї в зв'яку з тим, що:</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усiх випускiв цiнних паперiв, за якими надається забезпечення. Емiтент не має випускiв цiнних паперiв, за якими надаються забезпечення iншими особами.</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щодо всiх осiб, якi на дають забезпечення за зобов'язаннями емiтента. Особ</w:t>
      </w:r>
      <w:r>
        <w:rPr>
          <w:rFonts w:ascii="Times New Roman CYR" w:hAnsi="Times New Roman CYR" w:cs="Times New Roman CYR"/>
          <w:sz w:val="24"/>
          <w:szCs w:val="24"/>
        </w:rPr>
        <w:t>и, якi надають забезпечення за випуском цiнних паперiв ПРАТ "ЯКУШИНЕЦЬКЕ"  вiдсутнi.</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рейтингове агентство вiдсутня в зв'яку з тим, що в статутному капiталi емiтента державна частка вiдсутня, пiдприємство не має стратегiчного значення для е</w:t>
      </w:r>
      <w:r>
        <w:rPr>
          <w:rFonts w:ascii="Times New Roman CYR" w:hAnsi="Times New Roman CYR" w:cs="Times New Roman CYR"/>
          <w:sz w:val="24"/>
          <w:szCs w:val="24"/>
        </w:rPr>
        <w:t>кономiки та безпеки держави та не займає монопольного (домiнуючого) становища.</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Судовi справи емiтента. У звiтному роцi в судових справах емiтент не задiяний.</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штрафнi санкцiї щодо особи (зазначається за наявностi штрафної с</w:t>
      </w:r>
      <w:r>
        <w:rPr>
          <w:rFonts w:ascii="Times New Roman CYR" w:hAnsi="Times New Roman CYR" w:cs="Times New Roman CYR"/>
          <w:sz w:val="24"/>
          <w:szCs w:val="24"/>
        </w:rPr>
        <w:t>анкцiї в розмiрi, який перевищує 1000 грн). У звiтному роцi Товариство не сплачувало штрафних санкцiй у розмiрi, що перевищує 1000 грн., у тому числi за порушення законодавства на ринку цiнних паперiв.</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отриманих особою лiцензiй. Товариств</w:t>
      </w:r>
      <w:r>
        <w:rPr>
          <w:rFonts w:ascii="Times New Roman CYR" w:hAnsi="Times New Roman CYR" w:cs="Times New Roman CYR"/>
          <w:sz w:val="24"/>
          <w:szCs w:val="24"/>
        </w:rPr>
        <w:t>о не здiйснює види дiяльностi, якi пiдлягають лiцензуванню.</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Таблицi "Iнформацiя про обсяги виробництва та реалiзацiї основних видiв продукцiї" та "Iнформацiя про собiвартiсть реалiзованої продукцiї".Емiтент не заповнював, тому що не займається видами дiя</w:t>
      </w:r>
      <w:r>
        <w:rPr>
          <w:rFonts w:ascii="Times New Roman CYR" w:hAnsi="Times New Roman CYR" w:cs="Times New Roman CYR"/>
          <w:sz w:val="24"/>
          <w:szCs w:val="24"/>
        </w:rPr>
        <w:t xml:space="preserve">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Участь в iнших юридичних особах. Емiтент в асоцiацiї, корпорацiї, консорцiуми, ко</w:t>
      </w:r>
      <w:r>
        <w:rPr>
          <w:rFonts w:ascii="Times New Roman CYR" w:hAnsi="Times New Roman CYR" w:cs="Times New Roman CYR"/>
          <w:sz w:val="24"/>
          <w:szCs w:val="24"/>
        </w:rPr>
        <w:t xml:space="preserve">нцерни та iншi об'єднання за галузевими, територiальними та iншими принципами не входить. </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фiлiалiв або iнших вiдокремлених структурних пiдроздiлiв емiтента. Фiлiалiв або iнших вiдокремлених структурних пiдроздiлiв емiтент не має</w:t>
      </w:r>
      <w:r>
        <w:rPr>
          <w:rFonts w:ascii="Times New Roman CYR" w:hAnsi="Times New Roman CYR" w:cs="Times New Roman CYR"/>
          <w:sz w:val="24"/>
          <w:szCs w:val="24"/>
        </w:rPr>
        <w:t>.</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Змiна прав на акцiї. Протягом звiтного року змiн прав на акцiї не було.</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w:t>
      </w:r>
      <w:r>
        <w:rPr>
          <w:rFonts w:ascii="Times New Roman CYR" w:hAnsi="Times New Roman CYR" w:cs="Times New Roman CYR"/>
          <w:sz w:val="24"/>
          <w:szCs w:val="24"/>
        </w:rPr>
        <w:t>ультатами обмеження таких прав передано iншiй особi. Не облiковуються такi акцiї.</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Облiгацiї емiтентом не випускалися.</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цiннi папери, випуск яких пiдлягає реєстрацiї, емiтентом не випускалися.</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 Деривативнi цiннi папери емiтент не випускав. </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Борго</w:t>
      </w:r>
      <w:r>
        <w:rPr>
          <w:rFonts w:ascii="Times New Roman CYR" w:hAnsi="Times New Roman CYR" w:cs="Times New Roman CYR"/>
          <w:sz w:val="24"/>
          <w:szCs w:val="24"/>
        </w:rPr>
        <w:t>вi цiннi папери емiтент не випускав.</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Емiтент цiльовi корпоративнi облiгацiї, виконання, за якими забезпечене об'єктами нерухомостi, не випускав.</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придбання власних цiнних паперiв. Власнi цiннi папери емiтентом не придбавалися протягом звi</w:t>
      </w:r>
      <w:r>
        <w:rPr>
          <w:rFonts w:ascii="Times New Roman CYR" w:hAnsi="Times New Roman CYR" w:cs="Times New Roman CYR"/>
          <w:sz w:val="24"/>
          <w:szCs w:val="24"/>
        </w:rPr>
        <w:t>тного року.</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Iнформацiї про наявнiсть у власностi працiвникiв емiтента цiнних паперiв (крiм акцiй) такого емiтента. Емiтент iнших цiнних паперiв, крiм акцiй, не випускав.</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обмеження щодо обiгу цiнних паперiв емiтента, в тому числi</w:t>
      </w:r>
      <w:r>
        <w:rPr>
          <w:rFonts w:ascii="Times New Roman CYR" w:hAnsi="Times New Roman CYR" w:cs="Times New Roman CYR"/>
          <w:sz w:val="24"/>
          <w:szCs w:val="24"/>
        </w:rPr>
        <w:t xml:space="preserve"> необхiднiсть отримання вiд емiтента або iнших власникiв цiнних паперiв згоди на вiдчуження таких цiнних паперiв. Обмежень щодо обiгу цiнних паперiв емiтента немає. Статутом передбачено переважне право на придбання акцiй товариства, що пропонується їх влас</w:t>
      </w:r>
      <w:r>
        <w:rPr>
          <w:rFonts w:ascii="Times New Roman CYR" w:hAnsi="Times New Roman CYR" w:cs="Times New Roman CYR"/>
          <w:sz w:val="24"/>
          <w:szCs w:val="24"/>
        </w:rPr>
        <w:t>никам для продажу третiй особi.</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Звiт керiвництва. У складi Звiту керiвництва емiтента вiдсутня iнформацiї, в зв'яку з тим, що:</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кодекс корпоративного управлiння, яким керується особа. Власний кодекс корпоративного управлiння у емi</w:t>
      </w:r>
      <w:r>
        <w:rPr>
          <w:rFonts w:ascii="Times New Roman CYR" w:hAnsi="Times New Roman CYR" w:cs="Times New Roman CYR"/>
          <w:sz w:val="24"/>
          <w:szCs w:val="24"/>
        </w:rPr>
        <w:t>тента вiдсутнiй.</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1.1.1.2 - 9. Iнформацiя про практику корпоративного управлiння особи, застосовувану понад визначенi законодавством вимоги. Iнформацiя про практику корпоративного управлiння, застосовану понад визначенi законодавством вимоги вiдсутня. Принц</w:t>
      </w:r>
      <w:r>
        <w:rPr>
          <w:rFonts w:ascii="Times New Roman CYR" w:hAnsi="Times New Roman CYR" w:cs="Times New Roman CYR"/>
          <w:sz w:val="24"/>
          <w:szCs w:val="24"/>
        </w:rPr>
        <w:t>ипи корпоративного управлiння, що застосовуються товариством в своїй дiяльностi, визначенi чинним законодавством України та статутом товариства. Будь-яка iнша практика корпоративного управлiння не застосовується.</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 Iнформацiя про збори власникiв облiга</w:t>
      </w:r>
      <w:r>
        <w:rPr>
          <w:rFonts w:ascii="Times New Roman CYR" w:hAnsi="Times New Roman CYR" w:cs="Times New Roman CYR"/>
          <w:sz w:val="24"/>
          <w:szCs w:val="24"/>
        </w:rPr>
        <w:t>цiй та загальний опис прийнятих на таких зборах рiшень. Iнформацiя про збори власникiв облiгацiй вiдсутня, бо жодних цiнних паперiв, крiм акцiй, товариство не випускало.</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1.1.4.3. Iнформацiя про проведення засiдання комiтетiв ради. Комiтети не створенi.</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w:t>
      </w:r>
      <w:r>
        <w:rPr>
          <w:rFonts w:ascii="Times New Roman CYR" w:hAnsi="Times New Roman CYR" w:cs="Times New Roman CYR"/>
          <w:sz w:val="24"/>
          <w:szCs w:val="24"/>
        </w:rPr>
        <w:t>.7 У товариствi документ, який визначає полiтику системи внутрiшнього контролю (у тому числi щодо системи комплаєнс та внутрiшнього аудиту) та звiт щодо системи внутрiшнього контролю не затверджувався, рiшення про затвердження декларацiї схильностi до ризи</w:t>
      </w:r>
      <w:r>
        <w:rPr>
          <w:rFonts w:ascii="Times New Roman CYR" w:hAnsi="Times New Roman CYR" w:cs="Times New Roman CYR"/>
          <w:sz w:val="24"/>
          <w:szCs w:val="24"/>
        </w:rPr>
        <w:t>кiв не приймалось.</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винагороду членiв виконавчого органу та/або ради особи. У Особи вiдсутнi внутрiшнi документи, що регламентують питання винагороди, та звiту про винагороду членiв наглядової ради та/або виконавчого органу. Члени вико</w:t>
      </w:r>
      <w:r>
        <w:rPr>
          <w:rFonts w:ascii="Times New Roman CYR" w:hAnsi="Times New Roman CYR" w:cs="Times New Roman CYR"/>
          <w:sz w:val="24"/>
          <w:szCs w:val="24"/>
        </w:rPr>
        <w:t>навчого органу та ради особи не отримують винагороду.</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Iнформацiя про полiтику розкриття iнформацiї особою. Внутрiшнього документа, який визначає полiтику щодо розкриття iнформацiї особою у товариствi не було затверджено.</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1.1.13 Iнформацiя про радника. Посади радника у товариствi немає.</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1.3.1-12 Iнформацiя щодо наявностi у емiтента вiдносин з iноземними державами зони ризику. В структурi власностi Емiтента немає юридичних осiб, мiсцем реєстрацiї яких є iноземнi держави зони</w:t>
      </w:r>
      <w:r>
        <w:rPr>
          <w:rFonts w:ascii="Times New Roman CYR" w:hAnsi="Times New Roman CYR" w:cs="Times New Roman CYR"/>
          <w:sz w:val="24"/>
          <w:szCs w:val="24"/>
        </w:rPr>
        <w:t xml:space="preserve"> ризику. В органах управлiння емiтента немає фiзичних осiб, якi мають громадянство iноземної держави зони ризику. У емiтента немає дiлових вiдносин з контрагентами держави зони ризику або контрагентами, якi контролюються державою зони ризику</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Iнформацiя</w:t>
      </w:r>
      <w:r>
        <w:rPr>
          <w:rFonts w:ascii="Times New Roman CYR" w:hAnsi="Times New Roman CYR" w:cs="Times New Roman CYR"/>
          <w:sz w:val="24"/>
          <w:szCs w:val="24"/>
        </w:rPr>
        <w:t xml:space="preserve"> про корпоративнi/акцiонернi) договори, укладенi акцiонерами (учасниками) особи, яка наявна в особи. У емiтента не має в наявностi iнформацiї про корпоративнi договори укладенi акцiонерами емiтента.</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Iнформацiя про будь-якi договори та/або правочини, ум</w:t>
      </w:r>
      <w:r>
        <w:rPr>
          <w:rFonts w:ascii="Times New Roman CYR" w:hAnsi="Times New Roman CYR" w:cs="Times New Roman CYR"/>
          <w:sz w:val="24"/>
          <w:szCs w:val="24"/>
        </w:rPr>
        <w:t xml:space="preserve">овою чинностi яких є незмiннiсть осiб, якi здiйснюють контроль над емiтентом. Договори та/або правочини, умовою чинностi яких є незмiннiсть осiб, якi здiйснюють контроль над емiтентом не укладалися.                   </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Дивiдендна полiтика. Внутрiшнього д</w:t>
      </w:r>
      <w:r>
        <w:rPr>
          <w:rFonts w:ascii="Times New Roman CYR" w:hAnsi="Times New Roman CYR" w:cs="Times New Roman CYR"/>
          <w:sz w:val="24"/>
          <w:szCs w:val="24"/>
        </w:rPr>
        <w:t xml:space="preserve">окументу, який визначає дивiдендну полiтику, товариство не затверджувало.                        </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Iнформацiя про виплату дивiдендiв та iнших доходiв за цiнними паперами у звiтному перiодi. У звiтному перiодi дивiденди та iншi доходи за цiнними паперами </w:t>
      </w:r>
      <w:r>
        <w:rPr>
          <w:rFonts w:ascii="Times New Roman CYR" w:hAnsi="Times New Roman CYR" w:cs="Times New Roman CYR"/>
          <w:sz w:val="24"/>
          <w:szCs w:val="24"/>
        </w:rPr>
        <w:t>не виплачувалися.</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Перелiк посилань на внутрiшнi документи особи, що розмiщенi на вебсайтi особи. Чинним законодавством не передбачено розмiщення приватним акцiонерним товариством внутрiшнiх документiв на власному вебсайтi.</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III.1. З урахуванням вимог пун</w:t>
      </w:r>
      <w:r>
        <w:rPr>
          <w:rFonts w:ascii="Times New Roman CYR" w:hAnsi="Times New Roman CYR" w:cs="Times New Roman CYR"/>
          <w:sz w:val="24"/>
          <w:szCs w:val="24"/>
        </w:rPr>
        <w:t xml:space="preserve">кту 25 Положення, iнформацiя про розмiр доходу за видами дiяльностi </w:t>
      </w:r>
      <w:r>
        <w:rPr>
          <w:rFonts w:ascii="Times New Roman CYR" w:hAnsi="Times New Roman CYR" w:cs="Times New Roman CYR"/>
          <w:sz w:val="24"/>
          <w:szCs w:val="24"/>
        </w:rPr>
        <w:lastRenderedPageBreak/>
        <w:t>особи розкривається у випадку проведення приватними акцiонерними товариствами аудиту фiнансової звiтностi. Аудит не проводився.</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V.1.2-8. Iнформацiя про випуски iпотечних облiгацiй. Товарис</w:t>
      </w:r>
      <w:r>
        <w:rPr>
          <w:rFonts w:ascii="Times New Roman CYR" w:hAnsi="Times New Roman CYR" w:cs="Times New Roman CYR"/>
          <w:sz w:val="24"/>
          <w:szCs w:val="24"/>
        </w:rPr>
        <w:t>тво не випускало iпотечнi облiгацiї.</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V.2.1-6 Основнi вiдомостi про ФОН. Товариство не випускало сертифiкати ФОН.</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VII. Промiжна фiнансова звiтнiсть поручителя (страховика/гаранта) вiдсутня, бо емiтент не проводив забезпечення випуску боргових цiнних паперiв</w:t>
      </w:r>
      <w:r>
        <w:rPr>
          <w:rFonts w:ascii="Times New Roman CYR" w:hAnsi="Times New Roman CYR" w:cs="Times New Roman CYR"/>
          <w:sz w:val="24"/>
          <w:szCs w:val="24"/>
        </w:rPr>
        <w:t>.</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A56E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w:t>
      </w:r>
      <w:r>
        <w:rPr>
          <w:rFonts w:ascii="Times New Roman CYR" w:hAnsi="Times New Roman CYR" w:cs="Times New Roman CYR"/>
          <w:sz w:val="24"/>
          <w:szCs w:val="24"/>
        </w:rPr>
        <w:t>лу та цінних паперів</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Корпоративні та інші договори</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VI. Список посилань на регульовану інформацію, яка була розкрита протягом звітного року</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A56E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w:t>
            </w:r>
            <w:r>
              <w:rPr>
                <w:rFonts w:ascii="Times New Roman CYR" w:hAnsi="Times New Roman CYR" w:cs="Times New Roman CYR"/>
                <w:sz w:val="24"/>
                <w:szCs w:val="24"/>
              </w:rPr>
              <w:t>ИСТВО "ЯКУШИНЕЦЬКЕ"</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"ЯКУШИНЕЦЬКЕ"</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01546988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25.06.1996</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23223, Вінницька обл., Вiнницький р-н, с. Зарванцi, вул.Акцiонерна,9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Signalvin@gmail.com</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http://www.yakushinecke.pat.ua/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0980241696</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682639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w:t>
            </w:r>
            <w:r>
              <w:rPr>
                <w:rFonts w:ascii="Times New Roman CYR" w:hAnsi="Times New Roman CYR" w:cs="Times New Roman CYR"/>
                <w:sz w:val="24"/>
                <w:szCs w:val="24"/>
              </w:rPr>
              <w:t xml:space="preserve">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2078,5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01.11 - Вирощування зернових культур (крiм рису), бобових культур i насiння олiйних культур</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01.46 - Розведення свиней</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01.49 - Розведення iнших тварин</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Повне найменування (в т.ч. </w:t>
            </w:r>
            <w:r>
              <w:rPr>
                <w:rFonts w:ascii="Times New Roman CYR" w:hAnsi="Times New Roman CYR" w:cs="Times New Roman CYR"/>
                <w:sz w:val="24"/>
                <w:szCs w:val="24"/>
              </w:rPr>
              <w:lastRenderedPageBreak/>
              <w:t>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АТ КБ "ПРИВАТБАНК", МФО 305299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14360570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 173052990000026007026103233</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bl>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000000" w:rsidRDefault="00A56E6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Особи, якi включенi до перелiку акцiонерiв та мають право на участь у загальних зборах.</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Голова та 2 члени нагядової ради. Комiтети не створенi. </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Заремба Свiтлана Миколаївна, Член наглядової ради Сiгнаєв</w:t>
            </w:r>
            <w:r>
              <w:rPr>
                <w:rFonts w:ascii="Times New Roman CYR" w:hAnsi="Times New Roman CYR" w:cs="Times New Roman CYR"/>
              </w:rPr>
              <w:t>ський Роман Юрiйович, Член наглядової ради Сiгнаєвська Марина Iванiвна</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Одноособовий виконавчий орган в особi директора</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 Сiгнаєвський Юрiй Миколайович</w:t>
            </w:r>
          </w:p>
        </w:tc>
      </w:tr>
    </w:tbl>
    <w:p w:rsidR="00000000" w:rsidRDefault="00A56E62">
      <w:pPr>
        <w:widowControl w:val="0"/>
        <w:autoSpaceDE w:val="0"/>
        <w:autoSpaceDN w:val="0"/>
        <w:adjustRightInd w:val="0"/>
        <w:spacing w:after="0" w:line="240" w:lineRule="auto"/>
        <w:rPr>
          <w:rFonts w:ascii="Times New Roman CYR" w:hAnsi="Times New Roman CYR" w:cs="Times New Roman CYR"/>
        </w:rPr>
      </w:pPr>
    </w:p>
    <w:p w:rsidR="00000000" w:rsidRDefault="00A56E62">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w:t>
            </w:r>
            <w:r>
              <w:rPr>
                <w:rFonts w:ascii="Times New Roman CYR" w:hAnsi="Times New Roman CYR" w:cs="Times New Roman CYR"/>
                <w:sz w:val="20"/>
                <w:szCs w:val="20"/>
              </w:rPr>
              <w:t xml:space="preserve"> злочини (Так/Ні)</w:t>
            </w:r>
          </w:p>
        </w:tc>
        <w:tc>
          <w:tcPr>
            <w:tcW w:w="1100"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Заремба Свiтлана Миколаївна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1973</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Вiнницький навчально-науковий iнс</w:t>
            </w:r>
            <w:r>
              <w:rPr>
                <w:rFonts w:ascii="Times New Roman CYR" w:hAnsi="Times New Roman CYR" w:cs="Times New Roman CYR"/>
                <w:sz w:val="20"/>
                <w:szCs w:val="20"/>
              </w:rPr>
              <w:t>титут економiки Тернопiльського нацiонального економiчного унiверситету, "Облiк i оподаткування", 2019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"ЯКУШИНЕЦЬКЕ"</w:t>
            </w:r>
          </w:p>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01546988</w:t>
            </w:r>
          </w:p>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економiст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30.10.2025</w:t>
            </w:r>
          </w:p>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Сiгнаєвський Роман Юрiйович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1993</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Вища, Iнститут iнновацiйної освiти Київського нацiонального унiверситету будiвництва i архiтектури, </w:t>
            </w:r>
            <w:r>
              <w:rPr>
                <w:rFonts w:ascii="Times New Roman CYR" w:hAnsi="Times New Roman CYR" w:cs="Times New Roman CYR"/>
                <w:sz w:val="20"/>
                <w:szCs w:val="20"/>
              </w:rPr>
              <w:lastRenderedPageBreak/>
              <w:t>"Будiвництво та цивiльна iнженерiя", 2020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"Нова Почта"</w:t>
            </w:r>
          </w:p>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31316718</w:t>
            </w:r>
          </w:p>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територiальний менеджер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30.10.2025</w:t>
            </w:r>
          </w:p>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Сiгнаєвська Марина Iванiвна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1974</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Вiнницький державний аграрний унiверситет, "Облiк i аудит", 2007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"ЯКУШИНЕЦЬКЕ"</w:t>
            </w:r>
          </w:p>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01546988</w:t>
            </w:r>
          </w:p>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бухгалтер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30.10.2025</w:t>
            </w:r>
          </w:p>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w:t>
            </w:r>
            <w:r>
              <w:rPr>
                <w:rFonts w:ascii="Times New Roman CYR" w:hAnsi="Times New Roman CYR" w:cs="Times New Roman CYR"/>
                <w:sz w:val="20"/>
                <w:szCs w:val="20"/>
              </w:rPr>
              <w:t>к/Ні)</w:t>
            </w:r>
          </w:p>
        </w:tc>
        <w:tc>
          <w:tcPr>
            <w:tcW w:w="1100"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Сiгнаєвський Юрiй Миколайович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Вiнницький нацiональний аграрний унiверситет, "Менеджмент", 2020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"ЯКУШИНЕЦЬКЕ"</w:t>
            </w:r>
          </w:p>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01546988</w:t>
            </w:r>
          </w:p>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17.04.2018</w:t>
            </w:r>
          </w:p>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Горова Тетяна Iванiвна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1968</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 спецiальна, Хмельницький кооперативний технiкум "Товарознавство", 1987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"ЯКУШИНЕЦЬКЕ"</w:t>
            </w:r>
          </w:p>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01546988</w:t>
            </w:r>
          </w:p>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 за сумiсництвом</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12.12.2017</w:t>
            </w:r>
          </w:p>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000000" w:rsidRDefault="00A56E62">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Сiгнаєвський Юрiй Миколайович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1 277 578</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46,7882</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1 277 578</w:t>
            </w:r>
          </w:p>
        </w:tc>
        <w:tc>
          <w:tcPr>
            <w:tcW w:w="1700"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Заремба Свiтлана Миколаївна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924 640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33,8627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924 640</w:t>
            </w:r>
          </w:p>
        </w:tc>
        <w:tc>
          <w:tcPr>
            <w:tcW w:w="1700"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Сiгнаєвський Роман Юрiйович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Сiгнаєвська Марина Iванiвна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0,0037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100</w:t>
            </w:r>
          </w:p>
        </w:tc>
        <w:tc>
          <w:tcPr>
            <w:tcW w:w="1700"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Горова Тетяна Iванiвна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A56E62">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A56E62">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A56E6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органiзацiйну структуру,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структуру власностi особи у виглядi схематичного зображення, оскiльки приватнi акцiонернi товариства не зобов'язанi розмiщувати таку iнформацiю на власному веб сайтi.</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w:t>
      </w:r>
      <w:r>
        <w:rPr>
          <w:rFonts w:ascii="Times New Roman CYR" w:hAnsi="Times New Roman CYR" w:cs="Times New Roman CYR"/>
          <w:sz w:val="24"/>
          <w:szCs w:val="24"/>
        </w:rPr>
        <w:t>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АТ в асоцiацiї, консорцiу</w:t>
      </w:r>
      <w:r>
        <w:rPr>
          <w:rFonts w:ascii="Times New Roman CYR" w:hAnsi="Times New Roman CYR" w:cs="Times New Roman CYR"/>
          <w:sz w:val="24"/>
          <w:szCs w:val="24"/>
        </w:rPr>
        <w:t xml:space="preserve">ми, концерни та iншi об'єднання за галузевими, територiальними та iншими принципами не входить. Фiлiй та представництв не має та не створювало.До iнших об'єднань за галузевими, територiальними та iншими принципами не входить. Фiлiй та представництв не має </w:t>
      </w:r>
      <w:r>
        <w:rPr>
          <w:rFonts w:ascii="Times New Roman CYR" w:hAnsi="Times New Roman CYR" w:cs="Times New Roman CYR"/>
          <w:sz w:val="24"/>
          <w:szCs w:val="24"/>
        </w:rPr>
        <w:t>та не створювало.</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w:t>
      </w:r>
      <w:r>
        <w:rPr>
          <w:rFonts w:ascii="Times New Roman CYR" w:hAnsi="Times New Roman CYR" w:cs="Times New Roman CYR"/>
          <w:sz w:val="24"/>
          <w:szCs w:val="24"/>
        </w:rPr>
        <w:t xml:space="preserve"> виду спiльної дiяльностi.</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Cпiльна дiяльнiсть з iншими органiзацiями, пiдприємствами, установами протягом звiтного року емiтентом не проводилась.</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w:t>
      </w:r>
      <w:r>
        <w:rPr>
          <w:rFonts w:ascii="Times New Roman CYR" w:hAnsi="Times New Roman CYR" w:cs="Times New Roman CYR"/>
          <w:sz w:val="24"/>
          <w:szCs w:val="24"/>
        </w:rPr>
        <w:t xml:space="preserve">лiку та оцiнки вартостi фiнансових iнвестицiй тощо). </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Бухгалтерський облiк ведеться вiдповiдно до вимог П(С)БО та iнших нормативних документiв з питань бухгалтерського облiку. Бухгалтерська та статистична звiтнiсть складається вчасно та достовiрно. Фiнанс</w:t>
      </w:r>
      <w:r>
        <w:rPr>
          <w:rFonts w:ascii="Times New Roman CYR" w:hAnsi="Times New Roman CYR" w:cs="Times New Roman CYR"/>
          <w:sz w:val="24"/>
          <w:szCs w:val="24"/>
        </w:rPr>
        <w:t xml:space="preserve">ова звiтнiсть Товариства вiдповiдає даним синтетичного облiку. Рiчна iнвентаризацiя проводилась згiдно вимог чинного законодавства. </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Нарахування амортизацiї проводяться згiдно П(С)БО № 7 "Основнi засоби" та податкового законодавства.</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Метод оцiнки вартост</w:t>
      </w:r>
      <w:r>
        <w:rPr>
          <w:rFonts w:ascii="Times New Roman CYR" w:hAnsi="Times New Roman CYR" w:cs="Times New Roman CYR"/>
          <w:sz w:val="24"/>
          <w:szCs w:val="24"/>
        </w:rPr>
        <w:t xml:space="preserve">i та облiк запасiв ведеться згiдно П(С)БО № 9 "Запаси". </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 довгострокових фiнансових iнвестицiй здiйснюється з урахуванням вимог П(С)БО 12 "Фiнансовi iнвестицiї". Довгостроковi фiнансовi iнвестицiї Товариства станом на 31.12.2025 р. вiдсутнi.</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веде свою дiяльнiсть виключно за рахунок власних коштiв на основi самофiнансування та </w:t>
      </w:r>
      <w:r>
        <w:rPr>
          <w:rFonts w:ascii="Times New Roman CYR" w:hAnsi="Times New Roman CYR" w:cs="Times New Roman CYR"/>
          <w:sz w:val="24"/>
          <w:szCs w:val="24"/>
        </w:rPr>
        <w:lastRenderedPageBreak/>
        <w:t>самоокуп</w:t>
      </w:r>
      <w:r>
        <w:rPr>
          <w:rFonts w:ascii="Times New Roman CYR" w:hAnsi="Times New Roman CYR" w:cs="Times New Roman CYR"/>
          <w:sz w:val="24"/>
          <w:szCs w:val="24"/>
        </w:rPr>
        <w:t>ностi. Для успiшної дiяльностi товариства власних обiгових коштiв недостатньо. Можливими шляхами покращення лiквiдностi товариства, є отримання додаткового кредитування на льготних умовах, залучення iнвестицiї та отримання вiд замовникiв попередньої оплати</w:t>
      </w:r>
      <w:r>
        <w:rPr>
          <w:rFonts w:ascii="Times New Roman CYR" w:hAnsi="Times New Roman CYR" w:cs="Times New Roman CYR"/>
          <w:sz w:val="24"/>
          <w:szCs w:val="24"/>
        </w:rPr>
        <w:t xml:space="preserve"> перед виконанням договiрних зобов'язань. Для покращення фiнансового становища товариства протягом 2025 р. незалежнi фахiвцi, консультанти та спецiалiсти не залучались.</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w:t>
      </w:r>
      <w:r>
        <w:rPr>
          <w:rFonts w:ascii="Times New Roman CYR" w:hAnsi="Times New Roman CYR" w:cs="Times New Roman CYR"/>
          <w:sz w:val="24"/>
          <w:szCs w:val="24"/>
        </w:rPr>
        <w:t xml:space="preserve"> за звiтний рiк. Дослiджень та розробок протягом 2025 року на пiдприємствi не проводилось.</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ПРАТ "ЯКУШИНЕЦЬКЕ" в 2025 роцi займалось вирощуванням продукцiї рослинництва.</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w:t>
      </w:r>
      <w:r>
        <w:rPr>
          <w:rFonts w:ascii="Times New Roman CYR" w:hAnsi="Times New Roman CYR" w:cs="Times New Roman CYR"/>
          <w:sz w:val="24"/>
          <w:szCs w:val="24"/>
        </w:rPr>
        <w:t>а( у натуральному та грошовому виразi)</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Фактичний збiр урожаю зернових та технiчних культур складався з:</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озимої пшеницi - 9125 цн з площi 140,76 га; </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вiвса - 182,6 цн на площi 5,7 га; </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сої - 1298,9 цн на площi 62,35 га;</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кукурудзи - 270 цн на площi 4,7 га.</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Середньореалiзацiйнi цiни продуктiв.</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озимої пшеницi - 8182 грн/т</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вiвса - 6617 грн/т; </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сої - 14507 грн/т</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4).Загальна сума виручки. Чистий дохiд за 2025 рiк складає 8677,9 тис.грн.</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5).Загальна сума експор</w:t>
      </w:r>
      <w:r>
        <w:rPr>
          <w:rFonts w:ascii="Times New Roman CYR" w:hAnsi="Times New Roman CYR" w:cs="Times New Roman CYR"/>
          <w:sz w:val="24"/>
          <w:szCs w:val="24"/>
        </w:rPr>
        <w:t>ту, частка експорту в загальному обсязi продажiв - експорту немає.</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6).Залежнiсть вiд сезонних змiн. - виробництво повнiстю залежать вiд сезонних змiн.</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7).Основнi клiєнти - ТОВ "Євро-2012", ТОВ "ВКХП №2", ТОВ УПП "ЄВРОМЕД", ТОВ "Вороновицьке ХПП", ТОВ "Фi</w:t>
      </w:r>
      <w:r>
        <w:rPr>
          <w:rFonts w:ascii="Times New Roman CYR" w:hAnsi="Times New Roman CYR" w:cs="Times New Roman CYR"/>
          <w:sz w:val="24"/>
          <w:szCs w:val="24"/>
        </w:rPr>
        <w:t>латея Плюс", ТОВ "ТД АСТРА ТРЕЙД".</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8).Ринки збуту та країни, в яких особою здiйснюється дiяльнiсть. Товариство здiйснюється свою дiяльнiсть тiльки в межах України. </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9).Канал збуту - шляхом укладання договорiв з iснуючими клiєнтами та шляхом залучення нов</w:t>
      </w:r>
      <w:r>
        <w:rPr>
          <w:rFonts w:ascii="Times New Roman CYR" w:hAnsi="Times New Roman CYR" w:cs="Times New Roman CYR"/>
          <w:sz w:val="24"/>
          <w:szCs w:val="24"/>
        </w:rPr>
        <w:t>их клiєнтiв.</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10).Основнi постачальники та види товарiв або послуг, якi вони постачають/надають особi.</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ПрАТ "Украгро НПК", ТОВ "Макош-мiнерал", мiнеральнi добрива. </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Автозаправочнi станцiї, що розташованi поблизу сiл Якушинцi та Зарванцi Вiнницької областi - ПММ</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Сакура-Агро, ФОП Малик Н.С., ФОП Нагiрняк М.Н., ТОВ "МНАГОР" , ПП " АГРО-РОДИНА" - Засоби захисту рослин, мiкродобрива та насiння</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ТОВ "КЕАРФIЛД" - </w:t>
      </w:r>
      <w:r>
        <w:rPr>
          <w:rFonts w:ascii="Times New Roman CYR" w:hAnsi="Times New Roman CYR" w:cs="Times New Roman CYR"/>
          <w:sz w:val="24"/>
          <w:szCs w:val="24"/>
        </w:rPr>
        <w:t>послуги по обробцi землi.</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ФОП Шендирук Ю.В.- послуги по збиранню врожаю.</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ФОП Власюк В.С., ФОП Скрипкiн С.В.,ТОВ "ЛАIР" - запаснi частини до сiльсьгогосподарської технiки та обладнання.</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"ЕНЕРА Вiнниця" - електороенергiя.</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11).Особливостi стану </w:t>
      </w:r>
      <w:r>
        <w:rPr>
          <w:rFonts w:ascii="Times New Roman CYR" w:hAnsi="Times New Roman CYR" w:cs="Times New Roman CYR"/>
          <w:sz w:val="24"/>
          <w:szCs w:val="24"/>
        </w:rPr>
        <w:t>розвитку галузi, в якiй здiйснює дiяльнiсть особа. Пiдприємства галузi потерпають через низькi цiни на вироблену продукцiю, стару сiльсько- господарську технiку та причепне обладнання. Основна причина збитковостi всiх пiдприємств галузi - невiдповiднiсть м</w:t>
      </w:r>
      <w:r>
        <w:rPr>
          <w:rFonts w:ascii="Times New Roman CYR" w:hAnsi="Times New Roman CYR" w:cs="Times New Roman CYR"/>
          <w:sz w:val="24"/>
          <w:szCs w:val="24"/>
        </w:rPr>
        <w:t>iж цiною на ПММ, запчастини, мiнереалнi добрива, засоби захисту рослин та цiною на вироблену продукцiю. Рiвень впровадження нових технологiй залишається низьким через їх високу вартiсть. Конкуренцiя в галузi є високою. Особливiстю продукцiї товариства є її</w:t>
      </w:r>
      <w:r>
        <w:rPr>
          <w:rFonts w:ascii="Times New Roman CYR" w:hAnsi="Times New Roman CYR" w:cs="Times New Roman CYR"/>
          <w:sz w:val="24"/>
          <w:szCs w:val="24"/>
        </w:rPr>
        <w:t xml:space="preserve"> сезонний характер виробництва та постiйне зростання собiвартостi внаслiдок збiльшення цiн на ПММ, запаснi частини, засоби захисту рослин та мiнеральнi добрива.</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12).Опис технологiй, якi використовує особа у своїй дiяльностi - немає iнформацiї;</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13).Мiсце </w:t>
      </w:r>
      <w:r>
        <w:rPr>
          <w:rFonts w:ascii="Times New Roman CYR" w:hAnsi="Times New Roman CYR" w:cs="Times New Roman CYR"/>
          <w:sz w:val="24"/>
          <w:szCs w:val="24"/>
        </w:rPr>
        <w:t>особи на ринку, на якому вона здiйснює дiяльнiсть- немає iнформацiї;</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14).Рiвень конкуренцiї в галузi. Основними конкурентами з основної продукцiї є сiльськогосподарськi пiдприємства Вiнницького району та Вiнницької областi.</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15).Перспективнi плани розвитк</w:t>
      </w:r>
      <w:r>
        <w:rPr>
          <w:rFonts w:ascii="Times New Roman CYR" w:hAnsi="Times New Roman CYR" w:cs="Times New Roman CYR"/>
          <w:sz w:val="24"/>
          <w:szCs w:val="24"/>
        </w:rPr>
        <w:t>у особи. Перспективнi плани розвитку Товариства полягають у:</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оновленi парку сiльськогосподарської технiки та причепного обладнання;</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впровадження у виробництво новiтнiх технологiй;</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розширення посiвних площ пiд технiчнi культури, зокрема пiд , сою т</w:t>
      </w:r>
      <w:r>
        <w:rPr>
          <w:rFonts w:ascii="Times New Roman CYR" w:hAnsi="Times New Roman CYR" w:cs="Times New Roman CYR"/>
          <w:sz w:val="24"/>
          <w:szCs w:val="24"/>
        </w:rPr>
        <w:t xml:space="preserve">а соняшник; </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збiльшення обсягiв виробництва; </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залучення нових клiєнтiв та пошуки нових ринкiв збуту виробленої продукцiї.</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7. Опис ризикiв, як притаманнi дiяльностi особи, пiдходи до управлiння ризиками, заходи особи щодо зменшення впливу ризикiв. </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ризики при вирощуваннi продукцiї тваринництва - це нестабiльнiсть i непередбачуваннiсть цiн при реалiзацiї продукцiї. Зменшення ризикiв можливе за рахунок розвитку власної переробної бази. За вiдсутнiстю власних джерел фiнансування пiдприємство в</w:t>
      </w:r>
      <w:r>
        <w:rPr>
          <w:rFonts w:ascii="Times New Roman CYR" w:hAnsi="Times New Roman CYR" w:cs="Times New Roman CYR"/>
          <w:sz w:val="24"/>
          <w:szCs w:val="24"/>
        </w:rPr>
        <w:t xml:space="preserve">еде переговори з можливими iнвесторами. </w:t>
      </w:r>
      <w:r>
        <w:rPr>
          <w:rFonts w:ascii="Times New Roman CYR" w:hAnsi="Times New Roman CYR" w:cs="Times New Roman CYR"/>
          <w:sz w:val="24"/>
          <w:szCs w:val="24"/>
        </w:rPr>
        <w:lastRenderedPageBreak/>
        <w:t>Заходи щодо зменшення ризикiв полягають у полiпшеннi стану грунтiв, в першу чергу їх розкислення та внесення органiчних добрив, крiм того, у вивченнi кон'юнктури ринку, перевiрцi платоспроможностi клiєнтiв. Захист дi</w:t>
      </w:r>
      <w:r>
        <w:rPr>
          <w:rFonts w:ascii="Times New Roman CYR" w:hAnsi="Times New Roman CYR" w:cs="Times New Roman CYR"/>
          <w:sz w:val="24"/>
          <w:szCs w:val="24"/>
        </w:rPr>
        <w:t>яльностi пiдприємства, розширення виробництва та ринкiв збуту полягає у вивченнi нових технологiй, постiйному покращеннi якостi продукцiї, що вирощується Товариством.</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Стратегiя подальшої дiяльностi особи щонайменше на рiк (щодо розширення виробництва</w:t>
      </w:r>
      <w:r>
        <w:rPr>
          <w:rFonts w:ascii="Times New Roman CYR" w:hAnsi="Times New Roman CYR" w:cs="Times New Roman CYR"/>
          <w:sz w:val="24"/>
          <w:szCs w:val="24"/>
        </w:rPr>
        <w:t xml:space="preserve">, реконструкцiї, полiпшення фiнансового стану, опис iстотних факторiв, якi можуть вплинути на дiяльнiсть особи в майбутньому). </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в 2026 роцi планує зайнятися вирощуванням, переробкою сiльськогосподарської продукцiї. Для покращення фiнансового ст</w:t>
      </w:r>
      <w:r>
        <w:rPr>
          <w:rFonts w:ascii="Times New Roman CYR" w:hAnsi="Times New Roman CYR" w:cs="Times New Roman CYR"/>
          <w:sz w:val="24"/>
          <w:szCs w:val="24"/>
        </w:rPr>
        <w:t>ану товариство працює в напрямку розширення ринку збуту, пошуку вигiдних договорiв та впровадження iнновацiйних технологiй. Також товариство прогнозує реконструкцiї та полiпшення фiнансового стану, якi можуть вплинути на дiяльнiсть в майбутньому.</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Осн</w:t>
      </w:r>
      <w:r>
        <w:rPr>
          <w:rFonts w:ascii="Times New Roman CYR" w:hAnsi="Times New Roman CYR" w:cs="Times New Roman CYR"/>
          <w:sz w:val="24"/>
          <w:szCs w:val="24"/>
        </w:rPr>
        <w:t>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2021 </w:t>
      </w:r>
      <w:r>
        <w:rPr>
          <w:rFonts w:ascii="Times New Roman CYR" w:hAnsi="Times New Roman CYR" w:cs="Times New Roman CYR"/>
          <w:sz w:val="24"/>
          <w:szCs w:val="24"/>
        </w:rPr>
        <w:t>роцi придбано основних засобiв на суму 88,1 тис.грн. (земельна дiлянка)</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2021 роцi реалiзовано основних засобiв на суму 121,2 тис.грн. (комора та земельна дiлянка).</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2022 роцi значних придбань або вiдчужень активiв не було.</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2023 роцi значних придбань активiв не було. У 2023 роцi реалiзовано основних засобiв на суму 207,0 тис. грн.(сiвалка "ФАВОРИТ" СЗФ-4.0000-06V та транспортний пристрiй ПТЗ 00.000, Катки ЗККШС, Пектус Гiгант, Комбiнований агрегат РКВ)</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2024 роцi значних </w:t>
      </w:r>
      <w:r>
        <w:rPr>
          <w:rFonts w:ascii="Times New Roman CYR" w:hAnsi="Times New Roman CYR" w:cs="Times New Roman CYR"/>
          <w:sz w:val="24"/>
          <w:szCs w:val="24"/>
        </w:rPr>
        <w:t>придбань активiв не було. У 2024 роцi було безкоштовно передано на Якушинецьку ТГ земельну дiлянку вартiстю 12,1 тис. грн.</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2025 роцi значних придбань або вiдчужень активiв не було.</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на 2026 рiк, не планує залучати iнвестицiї, пов'язанi з її</w:t>
      </w:r>
      <w:r>
        <w:rPr>
          <w:rFonts w:ascii="Times New Roman CYR" w:hAnsi="Times New Roman CYR" w:cs="Times New Roman CYR"/>
          <w:sz w:val="24"/>
          <w:szCs w:val="24"/>
        </w:rPr>
        <w:t xml:space="preserve"> господарською дiяльнiстю.</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 кори</w:t>
      </w:r>
      <w:r>
        <w:rPr>
          <w:rFonts w:ascii="Times New Roman CYR" w:hAnsi="Times New Roman CYR" w:cs="Times New Roman CYR"/>
          <w:sz w:val="24"/>
          <w:szCs w:val="24"/>
        </w:rPr>
        <w:t xml:space="preserve">сної експлуатацiї основних засобiв - 5-20 рокiв. </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Сума зносу основних засобiв станом на 31.12.2025 року становить - 4727,4 тис.грн., первiсна вартiсть - 6302,6 тис.грн., залишкова вартiсть - 1575,2 тис.грн. Ступiнь зносу основних засобiв - 75%, ступiнь ви</w:t>
      </w:r>
      <w:r>
        <w:rPr>
          <w:rFonts w:ascii="Times New Roman CYR" w:hAnsi="Times New Roman CYR" w:cs="Times New Roman CYR"/>
          <w:sz w:val="24"/>
          <w:szCs w:val="24"/>
        </w:rPr>
        <w:t>користання - 25%.</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Виробничих потужностей достатньо. Змiни у вартостi зумовленi нарахуванням зносу, придбанням основних засобiв та їх реалiзацiєю. Основнi засоби емiтента використовуються за призначенням. Рухоме </w:t>
      </w:r>
      <w:r>
        <w:rPr>
          <w:rFonts w:ascii="Times New Roman CYR" w:hAnsi="Times New Roman CYR" w:cs="Times New Roman CYR"/>
          <w:sz w:val="24"/>
          <w:szCs w:val="24"/>
        </w:rPr>
        <w:lastRenderedPageBreak/>
        <w:t>та нерухоме майно емiтента знаходиться за ад</w:t>
      </w:r>
      <w:r>
        <w:rPr>
          <w:rFonts w:ascii="Times New Roman CYR" w:hAnsi="Times New Roman CYR" w:cs="Times New Roman CYR"/>
          <w:sz w:val="24"/>
          <w:szCs w:val="24"/>
        </w:rPr>
        <w:t>ресою: Вiнницька область, Вiнницький район, с. Зарванцi, вулиця Акцiонерна, будинок 9 та вулиця Стеценка, будинок 5.</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Екологiчнi питання, що можуть позначитися на використаннi активiв пiдприємства протягом звiтного року не виникали. Для зменшення викидiв з</w:t>
      </w:r>
      <w:r>
        <w:rPr>
          <w:rFonts w:ascii="Times New Roman CYR" w:hAnsi="Times New Roman CYR" w:cs="Times New Roman CYR"/>
          <w:sz w:val="24"/>
          <w:szCs w:val="24"/>
        </w:rPr>
        <w:t xml:space="preserve">абруднюючих речовин в атмосферне повiтря на пiдприємствi постiйно проводиться технiчний огляд основних засобiв. Капiтального будiвництва, розширення або удосконалення основних засобiв протягом 2025 р. пiдприємством не проводилось. На 2026 рiк пiдприємство </w:t>
      </w:r>
      <w:r>
        <w:rPr>
          <w:rFonts w:ascii="Times New Roman CYR" w:hAnsi="Times New Roman CYR" w:cs="Times New Roman CYR"/>
          <w:sz w:val="24"/>
          <w:szCs w:val="24"/>
        </w:rPr>
        <w:t>не планує значнi капiтального будiвництва, розширення або удосконалення основних засобiв пов'язанi з її господарською дiяльнiстю.</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Проблеми, якi впливають на дiяльнiсть особи, в тому числi ступiнь залежностi вiд законодавчих або економiчних обмежень.</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дiяльнiсть пiдприємства iстотно впливають постiйнi змiни у податковому законодавствi, нестабiльнiсть цiн на сiльськогосподарську продукцiю, неплатоспроможнiсть партнерiв i населення, зношенiсть основних засобiв, погодно-клiматичнi умови. Негативно на </w:t>
      </w:r>
      <w:r>
        <w:rPr>
          <w:rFonts w:ascii="Times New Roman CYR" w:hAnsi="Times New Roman CYR" w:cs="Times New Roman CYR"/>
          <w:sz w:val="24"/>
          <w:szCs w:val="24"/>
        </w:rPr>
        <w:t>дiяльнiсть Емiтента впливає збройна агресiя росiйської федерацiї.</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Ступiнь залежностi вiд зазначених проблем: </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постiйнi змiни законодавства - ступiнь залежностi середня </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нестабiльнiсть цiн - ступiнь залежностi висока </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знос рухомого складу - ступiнь залежностi середня </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низька платоспроможнiсть споживачiв - ступiнь залежностi середня </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погоднi умови - ступiнь залежностi висока.</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Вартiсть укладених, але ще не виконаних договорiв (контрактiв) на кiнець звiтного перiо</w:t>
      </w:r>
      <w:r>
        <w:rPr>
          <w:rFonts w:ascii="Times New Roman CYR" w:hAnsi="Times New Roman CYR" w:cs="Times New Roman CYR"/>
          <w:sz w:val="24"/>
          <w:szCs w:val="24"/>
        </w:rPr>
        <w:t>ду (загальний пiдсумок) та очiкуванi прибутки вiд виконання цих договорiв (контрактiв).</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2025 р. всi договiрнi обов'язки виконанi. На 2026 р. договори не укладались.</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Середньооблiкова чисельнiсть штатних працiвникiв особи, середня чисельнiсть поза</w:t>
      </w:r>
      <w:r>
        <w:rPr>
          <w:rFonts w:ascii="Times New Roman CYR" w:hAnsi="Times New Roman CYR" w:cs="Times New Roman CYR"/>
          <w:sz w:val="24"/>
          <w:szCs w:val="24"/>
        </w:rPr>
        <w:t>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чисельнiсть штатних працiвникiв облiкового складу (осiб) =  8</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w:t>
      </w:r>
      <w:r>
        <w:rPr>
          <w:rFonts w:ascii="Times New Roman CYR" w:hAnsi="Times New Roman CYR" w:cs="Times New Roman CYR"/>
          <w:sz w:val="24"/>
          <w:szCs w:val="24"/>
        </w:rPr>
        <w:t>едня чисельнiсть позаштатних працiвникiв та осiб, якi працюють за сумiсництвом (осiб) = 1</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Чисельностi працiвникiв, якi працюють на умовах неповного робочого часу (дня, тижня) (осiб) = 0</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(тис.грн.) = 2078,5 тис.грн.</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Будь-якi пропозицiї щодо реорганiзацiї з боку третiх осiб, що мали мiсце протягом звiтного перiоду, умови та результати цих пропозицiй. Пропозицiї щодо реорганiзацiї з боку третiх осiб протягом звiтного перiоду до Товариства не надходили.</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Iнша i</w:t>
      </w:r>
      <w:r>
        <w:rPr>
          <w:rFonts w:ascii="Times New Roman CYR" w:hAnsi="Times New Roman CYR" w:cs="Times New Roman CYR"/>
          <w:sz w:val="24"/>
          <w:szCs w:val="24"/>
        </w:rPr>
        <w:t>нформацiя, яка може бути iстотною для оцiнки стейкхолдерами фiнансового стану та результатiв дiяльностi особи - немає iнформацiї.</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w:t>
            </w:r>
            <w:r>
              <w:rPr>
                <w:rFonts w:ascii="Times New Roman CYR" w:hAnsi="Times New Roman CYR" w:cs="Times New Roman CYR"/>
              </w:rPr>
              <w:t>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544,4</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463,5</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544,4</w:t>
            </w:r>
          </w:p>
        </w:tc>
        <w:tc>
          <w:tcPr>
            <w:tcW w:w="1082"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463,5</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500,9</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463,5</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500,9</w:t>
            </w:r>
          </w:p>
        </w:tc>
        <w:tc>
          <w:tcPr>
            <w:tcW w:w="1082"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463,5</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43,5</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43,5</w:t>
            </w:r>
          </w:p>
        </w:tc>
        <w:tc>
          <w:tcPr>
            <w:tcW w:w="1082"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1 111,7</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1 111,7</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1 111,7</w:t>
            </w:r>
          </w:p>
        </w:tc>
        <w:tc>
          <w:tcPr>
            <w:tcW w:w="1082"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1 111,7</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1 111,7</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1 111,7</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1 111,7</w:t>
            </w:r>
          </w:p>
        </w:tc>
        <w:tc>
          <w:tcPr>
            <w:tcW w:w="1082"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1 111,7</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1 656,1</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1 575,2</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1 656,1</w:t>
            </w:r>
          </w:p>
        </w:tc>
        <w:tc>
          <w:tcPr>
            <w:tcW w:w="1082"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1 575,2</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Строк корисної експлуатацiї основних засобiв - 5-20 рокiв. </w:t>
            </w:r>
          </w:p>
          <w:p w:rsidR="00000000" w:rsidRDefault="00A56E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Сума зносу основних засобiв станом на 31.12.2025 року становить - 4727,4 тис.грн., первiсна вартiсть - 6302,6 тис.грн., залишкова вартiсть - 1575,2 тис.грн. Ступiнь зносу основних засобiв - 75%, ступiнь використання - 25%. </w:t>
            </w:r>
          </w:p>
          <w:p w:rsidR="00000000" w:rsidRDefault="00A56E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Виробничих потужностей достатньо</w:t>
            </w:r>
            <w:r>
              <w:rPr>
                <w:rFonts w:ascii="Times New Roman CYR" w:hAnsi="Times New Roman CYR" w:cs="Times New Roman CYR"/>
              </w:rPr>
              <w:t>. Змiни у вартостi зумовленi нарахуванням зносу, придбанням основних засобiв та їх реалiзацiєю.</w:t>
            </w:r>
          </w:p>
          <w:p w:rsidR="00000000" w:rsidRDefault="00A56E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Основнi засоби емiтента використовуються за призначенням. Рухоме та нерухоме майно емiтента знаходиться за адресою: Вiнницька область, Вiнницький район, с. Зарв</w:t>
            </w:r>
            <w:r>
              <w:rPr>
                <w:rFonts w:ascii="Times New Roman CYR" w:hAnsi="Times New Roman CYR" w:cs="Times New Roman CYR"/>
              </w:rPr>
              <w:t>анцi, вулиця Акцiонерна, 9 та вул.Стеценка,5.</w:t>
            </w:r>
          </w:p>
          <w:p w:rsidR="00000000" w:rsidRDefault="00A56E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 2025 роцi нараховано амортизацiї: Будiвлi, споруди, передавальнi пристрої - 37,4 тис.грн., Машини та обладнання - 43,5 тис.грн.</w:t>
            </w:r>
          </w:p>
        </w:tc>
      </w:tr>
    </w:tbl>
    <w:p w:rsidR="00000000" w:rsidRDefault="00A56E62">
      <w:pPr>
        <w:widowControl w:val="0"/>
        <w:autoSpaceDE w:val="0"/>
        <w:autoSpaceDN w:val="0"/>
        <w:adjustRightInd w:val="0"/>
        <w:spacing w:after="0" w:line="240" w:lineRule="auto"/>
        <w:rPr>
          <w:rFonts w:ascii="Times New Roman CYR" w:hAnsi="Times New Roman CYR" w:cs="Times New Roman CYR"/>
        </w:rPr>
      </w:pPr>
    </w:p>
    <w:p w:rsidR="00000000" w:rsidRDefault="00A56E6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w:t>
            </w:r>
            <w:r>
              <w:rPr>
                <w:rFonts w:ascii="Times New Roman CYR" w:hAnsi="Times New Roman CYR" w:cs="Times New Roman CYR"/>
              </w:rPr>
              <w:t>од</w:t>
            </w:r>
          </w:p>
        </w:tc>
        <w:tc>
          <w:tcPr>
            <w:tcW w:w="3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6 396</w:t>
            </w:r>
          </w:p>
        </w:tc>
        <w:tc>
          <w:tcPr>
            <w:tcW w:w="3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6 371,2</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682,6</w:t>
            </w:r>
          </w:p>
        </w:tc>
        <w:tc>
          <w:tcPr>
            <w:tcW w:w="3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682,6</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682,6</w:t>
            </w:r>
          </w:p>
        </w:tc>
        <w:tc>
          <w:tcPr>
            <w:tcW w:w="3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682,6</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Співвідношення (у відсотках) вартості чистих активів особи за звітний період до розміру зареєстрованого статутного </w:t>
            </w:r>
            <w:r>
              <w:rPr>
                <w:rFonts w:ascii="Times New Roman CYR" w:hAnsi="Times New Roman CYR" w:cs="Times New Roman CYR"/>
              </w:rPr>
              <w:lastRenderedPageBreak/>
              <w:t>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937</w:t>
            </w:r>
          </w:p>
        </w:tc>
        <w:tc>
          <w:tcPr>
            <w:tcW w:w="3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933</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100,4</w:t>
            </w:r>
          </w:p>
        </w:tc>
        <w:tc>
          <w:tcPr>
            <w:tcW w:w="3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122</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Розрахунок вартостi чистих активiв вiдбувався вiдповiдно до методичних рекомендацiй НКЦПФР (Рiшення №48</w:t>
            </w:r>
            <w:r>
              <w:rPr>
                <w:rFonts w:ascii="Times New Roman CYR" w:hAnsi="Times New Roman CYR" w:cs="Times New Roman CYR"/>
              </w:rPr>
              <w:t>5 вiд 17.11.2004 року) та Додатку 1 до Нацiонального положення (стандарту) бухгалтерського облiку 1 "Загальнi вимоги до фiнансової звiтностi", затвердженого Наказом Мiнiстерства фiнансiв України №73 вiд 07.02.2013 р. Визначення вартостi чистих активiв пров</w:t>
            </w:r>
            <w:r>
              <w:rPr>
                <w:rFonts w:ascii="Times New Roman CYR" w:hAnsi="Times New Roman CYR" w:cs="Times New Roman CYR"/>
              </w:rPr>
              <w:t>одилося за формулою: Чистi активи = Необоротнi активи + Оборотнi активи + Витрати майбутнiх перiодiв- Довгостроковi зобов'язання - Поточнi зобов'язання - Забезпечення наступних виплат  i платежiв - Доходи майбутнiх перiодiв.</w:t>
            </w:r>
          </w:p>
          <w:p w:rsidR="00000000" w:rsidRDefault="00A56E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Вартiсть чистих активiв складає</w:t>
            </w:r>
            <w:r>
              <w:rPr>
                <w:rFonts w:ascii="Times New Roman CYR" w:hAnsi="Times New Roman CYR" w:cs="Times New Roman CYR"/>
              </w:rPr>
              <w:t xml:space="preserve"> 6396,0 тис.грн. i є бiльшою вiд статутного капiталу. Неоплачений та вилучений капiтал у товариствi вiдсутнiй. Спiввiдношення розрахункової вартостi чистих активiв i статутного капiталу товариства є таким, що не суперечить вимогам ст. 155 Цивiльного Кодекс</w:t>
            </w:r>
            <w:r>
              <w:rPr>
                <w:rFonts w:ascii="Times New Roman CYR" w:hAnsi="Times New Roman CYR" w:cs="Times New Roman CYR"/>
              </w:rPr>
              <w:t>у України та не зобов'язує акцiонерне товариство зменшувати його статутний капiтал.</w:t>
            </w:r>
          </w:p>
        </w:tc>
      </w:tr>
    </w:tbl>
    <w:p w:rsidR="00000000" w:rsidRDefault="00A56E62">
      <w:pPr>
        <w:widowControl w:val="0"/>
        <w:autoSpaceDE w:val="0"/>
        <w:autoSpaceDN w:val="0"/>
        <w:adjustRightInd w:val="0"/>
        <w:spacing w:after="0" w:line="240" w:lineRule="auto"/>
        <w:rPr>
          <w:rFonts w:ascii="Times New Roman CYR" w:hAnsi="Times New Roman CYR" w:cs="Times New Roman CYR"/>
        </w:rPr>
      </w:pPr>
    </w:p>
    <w:p w:rsidR="00000000" w:rsidRDefault="00A56E6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110,4</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розрахунками з бюджетом</w:t>
            </w:r>
          </w:p>
        </w:tc>
        <w:tc>
          <w:tcPr>
            <w:tcW w:w="144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110,4</w:t>
            </w:r>
          </w:p>
        </w:tc>
        <w:tc>
          <w:tcPr>
            <w:tcW w:w="194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631,5</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довгостроковi зобов`язання</w:t>
            </w:r>
          </w:p>
        </w:tc>
        <w:tc>
          <w:tcPr>
            <w:tcW w:w="144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w:t>
            </w:r>
          </w:p>
        </w:tc>
        <w:tc>
          <w:tcPr>
            <w:tcW w:w="194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товари, роботи, послуги</w:t>
            </w:r>
          </w:p>
        </w:tc>
        <w:tc>
          <w:tcPr>
            <w:tcW w:w="144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484,2</w:t>
            </w:r>
          </w:p>
        </w:tc>
        <w:tc>
          <w:tcPr>
            <w:tcW w:w="194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розрахунками зi страхування</w:t>
            </w:r>
          </w:p>
        </w:tc>
        <w:tc>
          <w:tcPr>
            <w:tcW w:w="144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w:t>
            </w:r>
          </w:p>
        </w:tc>
        <w:tc>
          <w:tcPr>
            <w:tcW w:w="194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розрахунками з оплати працi</w:t>
            </w:r>
          </w:p>
        </w:tc>
        <w:tc>
          <w:tcPr>
            <w:tcW w:w="144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47,5</w:t>
            </w:r>
          </w:p>
        </w:tc>
        <w:tc>
          <w:tcPr>
            <w:tcW w:w="194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iншi поточнi зобов'язання</w:t>
            </w:r>
          </w:p>
        </w:tc>
        <w:tc>
          <w:tcPr>
            <w:tcW w:w="144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741,9</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A56E62">
      <w:pPr>
        <w:widowControl w:val="0"/>
        <w:autoSpaceDE w:val="0"/>
        <w:autoSpaceDN w:val="0"/>
        <w:adjustRightInd w:val="0"/>
        <w:spacing w:after="0" w:line="240" w:lineRule="auto"/>
        <w:rPr>
          <w:rFonts w:ascii="Times New Roman CYR" w:hAnsi="Times New Roman CYR" w:cs="Times New Roman CYR"/>
        </w:rPr>
      </w:pPr>
    </w:p>
    <w:p w:rsidR="00000000" w:rsidRDefault="00A56E6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Київська обл., м.Київ, вул.Якубенкiвська,7-Г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(044)3630400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w:t>
            </w:r>
            <w:r>
              <w:rPr>
                <w:rFonts w:ascii="Times New Roman CYR" w:hAnsi="Times New Roman CYR" w:cs="Times New Roman CYR"/>
              </w:rPr>
              <w:t>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A56E62">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"Фондова компанiя "Трансферт"</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37001565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01133, Київська обл., м.Київ, вул. Є.Коновальця, буд. 32-В, примiщення 112-113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№263384</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24.09.2013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(044)4960386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w:t>
            </w:r>
            <w:r>
              <w:rPr>
                <w:rFonts w:ascii="Times New Roman CYR" w:hAnsi="Times New Roman CYR" w:cs="Times New Roman CYR"/>
              </w:rPr>
              <w:t xml:space="preserve">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A56E62">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 Антоновича, 51, оф.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A56E62">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w:t>
            </w:r>
            <w:r>
              <w:rPr>
                <w:rFonts w:ascii="Times New Roman CYR" w:hAnsi="Times New Roman CYR" w:cs="Times New Roman CYR"/>
              </w:rPr>
              <w:t>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 Антоновича, 51, оф.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A56E62">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"Фiнаста"</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34762675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04050, Київська обл., м.Київ, вул.Глибочицька,28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№263230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28.08.2013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(044)4844967</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w:t>
            </w:r>
            <w:r>
              <w:rPr>
                <w:rFonts w:ascii="Times New Roman CYR" w:hAnsi="Times New Roman CYR" w:cs="Times New Roman CYR"/>
              </w:rPr>
              <w:t>а дiяльнiсть депозитарної установи</w:t>
            </w:r>
          </w:p>
        </w:tc>
      </w:tr>
    </w:tbl>
    <w:p w:rsidR="00000000" w:rsidRDefault="00A56E62">
      <w:pPr>
        <w:widowControl w:val="0"/>
        <w:autoSpaceDE w:val="0"/>
        <w:autoSpaceDN w:val="0"/>
        <w:adjustRightInd w:val="0"/>
        <w:spacing w:after="0" w:line="240" w:lineRule="auto"/>
        <w:rPr>
          <w:rFonts w:ascii="Times New Roman CYR" w:hAnsi="Times New Roman CYR" w:cs="Times New Roman CYR"/>
        </w:rPr>
      </w:pPr>
    </w:p>
    <w:p w:rsidR="00000000" w:rsidRDefault="00A56E62">
      <w:pPr>
        <w:widowControl w:val="0"/>
        <w:autoSpaceDE w:val="0"/>
        <w:autoSpaceDN w:val="0"/>
        <w:adjustRightInd w:val="0"/>
        <w:spacing w:after="0" w:line="240" w:lineRule="auto"/>
        <w:rPr>
          <w:rFonts w:ascii="Times New Roman CYR" w:hAnsi="Times New Roman CYR" w:cs="Times New Roman CYR"/>
        </w:rPr>
      </w:pPr>
    </w:p>
    <w:p w:rsidR="00000000" w:rsidRDefault="00A56E62">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A56E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електронна iменна</w:t>
            </w:r>
          </w:p>
        </w:tc>
        <w:tc>
          <w:tcPr>
            <w:tcW w:w="200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34/02/1/10</w:t>
            </w:r>
          </w:p>
        </w:tc>
        <w:tc>
          <w:tcPr>
            <w:tcW w:w="200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2 730 556</w:t>
            </w:r>
          </w:p>
        </w:tc>
        <w:tc>
          <w:tcPr>
            <w:tcW w:w="190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мають право: </w:t>
            </w:r>
          </w:p>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брати участь в управлiннi Товариством; </w:t>
            </w:r>
          </w:p>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2) отримувати дивiденди; </w:t>
            </w:r>
          </w:p>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отримувати у разi лiквiдацiї Товариства частини його майна або вартостi частини майна Товариства;</w:t>
            </w:r>
          </w:p>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отримувати iнформацiю про господарську дiяльнiсть Товариства;</w:t>
            </w:r>
          </w:p>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на переважне право</w:t>
            </w:r>
            <w:r>
              <w:rPr>
                <w:rFonts w:ascii="Times New Roman CYR" w:hAnsi="Times New Roman CYR" w:cs="Times New Roman CYR"/>
              </w:rPr>
              <w:t xml:space="preserve"> придбавати розмiщуванi Товариством простi акцiї пропорцiйно частцi належних йому простих акцiй у загальнiй кiлькостi простих акцiй. </w:t>
            </w:r>
          </w:p>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 вимагати обов'язкового </w:t>
            </w:r>
            <w:r>
              <w:rPr>
                <w:rFonts w:ascii="Times New Roman CYR" w:hAnsi="Times New Roman CYR" w:cs="Times New Roman CYR"/>
              </w:rPr>
              <w:lastRenderedPageBreak/>
              <w:t xml:space="preserve">викупу Товариством належних акцiй у випадках та порядку, передбачених законодавством; </w:t>
            </w:r>
          </w:p>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виходу</w:t>
            </w:r>
            <w:r>
              <w:rPr>
                <w:rFonts w:ascii="Times New Roman CYR" w:hAnsi="Times New Roman CYR" w:cs="Times New Roman CYR"/>
              </w:rPr>
              <w:t xml:space="preserve"> iз Товариства шляхом вiдчуження належних йому акцiй.</w:t>
            </w:r>
          </w:p>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можуть мати iншi права, передбаченi законодавством.</w:t>
            </w:r>
          </w:p>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зобов'язанi: </w:t>
            </w:r>
          </w:p>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дотримуватися Статуту Товариства, iнших внутрiшнiх документiв Товариства;</w:t>
            </w:r>
          </w:p>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виконувати рiшення загальних зборiв, iнших органiв Товариства;</w:t>
            </w:r>
          </w:p>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виконувати свої зобов'язання перед Товариством, у тому числi пов'язанi з майновою участю;</w:t>
            </w:r>
          </w:p>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4) оплачувати акцiї у розмiрi, порядку i засобами, передбаченими </w:t>
            </w:r>
            <w:r>
              <w:rPr>
                <w:rFonts w:ascii="Times New Roman CYR" w:hAnsi="Times New Roman CYR" w:cs="Times New Roman CYR"/>
              </w:rPr>
              <w:lastRenderedPageBreak/>
              <w:t>Статутом Товариства;</w:t>
            </w:r>
          </w:p>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не розго</w:t>
            </w:r>
            <w:r>
              <w:rPr>
                <w:rFonts w:ascii="Times New Roman CYR" w:hAnsi="Times New Roman CYR" w:cs="Times New Roman CYR"/>
              </w:rPr>
              <w:t>лошувати комерцiйну та конфiденцiйну iнформацiю про дiяльнiсть Товариства;</w:t>
            </w:r>
          </w:p>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можуть мати iншi обов'язки встановленi законодавством.</w:t>
            </w:r>
          </w:p>
        </w:tc>
        <w:tc>
          <w:tcPr>
            <w:tcW w:w="200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Публiчної пропозицiї та допуску до торгiв на фондовiй бiржi не має, до бiржового реєстру не включенi</w:t>
            </w:r>
          </w:p>
        </w:tc>
        <w:tc>
          <w:tcPr>
            <w:tcW w:w="3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w:t>
            </w:r>
            <w:r>
              <w:rPr>
                <w:rFonts w:ascii="Times New Roman CYR" w:hAnsi="Times New Roman CYR" w:cs="Times New Roman CYR"/>
              </w:rPr>
              <w:t>а не є товариством з обмеженою або додатковою вiдповiдальнiстю.</w:t>
            </w:r>
          </w:p>
        </w:tc>
      </w:tr>
    </w:tbl>
    <w:p w:rsidR="00000000" w:rsidRDefault="00A56E62">
      <w:pPr>
        <w:widowControl w:val="0"/>
        <w:autoSpaceDE w:val="0"/>
        <w:autoSpaceDN w:val="0"/>
        <w:adjustRightInd w:val="0"/>
        <w:spacing w:after="0" w:line="240" w:lineRule="auto"/>
        <w:rPr>
          <w:rFonts w:ascii="Times New Roman CYR" w:hAnsi="Times New Roman CYR" w:cs="Times New Roman CYR"/>
        </w:rPr>
      </w:pP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13.07.2010</w:t>
            </w:r>
          </w:p>
        </w:tc>
        <w:tc>
          <w:tcPr>
            <w:tcW w:w="135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34/02/1/10</w:t>
            </w:r>
          </w:p>
        </w:tc>
        <w:tc>
          <w:tcPr>
            <w:tcW w:w="240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Вiнницьке теруправлiння ДКЦПФР</w:t>
            </w:r>
          </w:p>
        </w:tc>
        <w:tc>
          <w:tcPr>
            <w:tcW w:w="170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UA4000080683</w:t>
            </w:r>
          </w:p>
        </w:tc>
        <w:tc>
          <w:tcPr>
            <w:tcW w:w="160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2 730 556</w:t>
            </w:r>
          </w:p>
        </w:tc>
        <w:tc>
          <w:tcPr>
            <w:tcW w:w="140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682 639</w:t>
            </w:r>
          </w:p>
        </w:tc>
        <w:tc>
          <w:tcPr>
            <w:tcW w:w="17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Протягом звiтного року торгiвля акцiями Товариства на внутрiшнiх та зовнiшнiх ринках цiнних паперiв не здiйсн</w:t>
            </w:r>
            <w:r>
              <w:rPr>
                <w:rFonts w:ascii="Times New Roman CYR" w:hAnsi="Times New Roman CYR" w:cs="Times New Roman CYR"/>
              </w:rPr>
              <w:t>ювалась, лiстингу/делiстингу цiнних паперiв Товариства на фондових бiржах не вiдбувалось, додатковї емiсiї цiнних паперiв не здiйснювалось.</w:t>
            </w:r>
          </w:p>
        </w:tc>
      </w:tr>
    </w:tbl>
    <w:p w:rsidR="00000000" w:rsidRDefault="00A56E62">
      <w:pPr>
        <w:widowControl w:val="0"/>
        <w:autoSpaceDE w:val="0"/>
        <w:autoSpaceDN w:val="0"/>
        <w:adjustRightInd w:val="0"/>
        <w:spacing w:after="0" w:line="240" w:lineRule="auto"/>
        <w:rPr>
          <w:rFonts w:ascii="Times New Roman CYR" w:hAnsi="Times New Roman CYR" w:cs="Times New Roman CYR"/>
        </w:rPr>
      </w:pP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UA4000080683</w:t>
            </w:r>
          </w:p>
        </w:tc>
        <w:tc>
          <w:tcPr>
            <w:tcW w:w="385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2214738</w:t>
            </w:r>
          </w:p>
        </w:tc>
        <w:tc>
          <w:tcPr>
            <w:tcW w:w="385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515818</w:t>
            </w:r>
          </w:p>
        </w:tc>
      </w:tr>
    </w:tbl>
    <w:p w:rsidR="00000000" w:rsidRDefault="00A56E62">
      <w:pPr>
        <w:widowControl w:val="0"/>
        <w:autoSpaceDE w:val="0"/>
        <w:autoSpaceDN w:val="0"/>
        <w:adjustRightInd w:val="0"/>
        <w:spacing w:after="0" w:line="240" w:lineRule="auto"/>
        <w:rPr>
          <w:rFonts w:ascii="Times New Roman CYR" w:hAnsi="Times New Roman CYR" w:cs="Times New Roman CYR"/>
        </w:rPr>
      </w:pP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000000">
        <w:tblPrEx>
          <w:tblCellMar>
            <w:top w:w="0" w:type="dxa"/>
            <w:bottom w:w="0" w:type="dxa"/>
          </w:tblCellMar>
        </w:tblPrEx>
        <w:trPr>
          <w:trHeight w:val="300"/>
        </w:trPr>
        <w:tc>
          <w:tcPr>
            <w:tcW w:w="4000" w:type="dxa"/>
            <w:vMerge w:val="restart"/>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Кількість акцій, </w:t>
            </w:r>
            <w:r>
              <w:rPr>
                <w:rFonts w:ascii="Times New Roman CYR" w:hAnsi="Times New Roman CYR" w:cs="Times New Roman CYR"/>
              </w:rPr>
              <w:lastRenderedPageBreak/>
              <w:t>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Від загальної </w:t>
            </w:r>
            <w:r>
              <w:rPr>
                <w:rFonts w:ascii="Times New Roman CYR" w:hAnsi="Times New Roman CYR" w:cs="Times New Roman CYR"/>
              </w:rPr>
              <w:lastRenderedPageBreak/>
              <w:t>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Кількість за типами акцій</w:t>
            </w:r>
          </w:p>
        </w:tc>
      </w:tr>
      <w:tr w:rsidR="00000000">
        <w:tblPrEx>
          <w:tblCellMar>
            <w:top w:w="0" w:type="dxa"/>
            <w:bottom w:w="0" w:type="dxa"/>
          </w:tblCellMar>
        </w:tblPrEx>
        <w:trPr>
          <w:trHeight w:val="300"/>
        </w:trPr>
        <w:tc>
          <w:tcPr>
            <w:tcW w:w="4000" w:type="dxa"/>
            <w:vMerge/>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Сiгнаєвський Юрiй Миколайович</w:t>
            </w:r>
          </w:p>
        </w:tc>
        <w:tc>
          <w:tcPr>
            <w:tcW w:w="200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1 277 578</w:t>
            </w:r>
          </w:p>
        </w:tc>
        <w:tc>
          <w:tcPr>
            <w:tcW w:w="200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46,7882</w:t>
            </w:r>
          </w:p>
        </w:tc>
        <w:tc>
          <w:tcPr>
            <w:tcW w:w="170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1 277 578</w:t>
            </w:r>
          </w:p>
        </w:tc>
        <w:tc>
          <w:tcPr>
            <w:tcW w:w="17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Заремба  Свiтлана  Миколаївна</w:t>
            </w:r>
          </w:p>
        </w:tc>
        <w:tc>
          <w:tcPr>
            <w:tcW w:w="200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924 640</w:t>
            </w:r>
          </w:p>
        </w:tc>
        <w:tc>
          <w:tcPr>
            <w:tcW w:w="200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33,8627</w:t>
            </w:r>
          </w:p>
        </w:tc>
        <w:tc>
          <w:tcPr>
            <w:tcW w:w="170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924 640</w:t>
            </w:r>
          </w:p>
        </w:tc>
        <w:tc>
          <w:tcPr>
            <w:tcW w:w="17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2 202 218</w:t>
            </w:r>
          </w:p>
        </w:tc>
        <w:tc>
          <w:tcPr>
            <w:tcW w:w="200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80,6509</w:t>
            </w:r>
          </w:p>
        </w:tc>
        <w:tc>
          <w:tcPr>
            <w:tcW w:w="170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2 202 218</w:t>
            </w:r>
          </w:p>
        </w:tc>
        <w:tc>
          <w:tcPr>
            <w:tcW w:w="17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A56E62">
      <w:pPr>
        <w:widowControl w:val="0"/>
        <w:autoSpaceDE w:val="0"/>
        <w:autoSpaceDN w:val="0"/>
        <w:adjustRightInd w:val="0"/>
        <w:spacing w:after="0" w:line="240" w:lineRule="auto"/>
        <w:rPr>
          <w:rFonts w:ascii="Times New Roman CYR" w:hAnsi="Times New Roman CYR" w:cs="Times New Roman CYR"/>
        </w:rPr>
      </w:pP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w:t>
            </w:r>
            <w:r>
              <w:rPr>
                <w:rFonts w:ascii="Times New Roman CYR" w:hAnsi="Times New Roman CYR" w:cs="Times New Roman CYR"/>
              </w:rPr>
              <w:t>лосуючих акцій, права голосу за 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13.07.2010</w:t>
            </w:r>
          </w:p>
        </w:tc>
        <w:tc>
          <w:tcPr>
            <w:tcW w:w="200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34/02/1/10</w:t>
            </w:r>
          </w:p>
        </w:tc>
        <w:tc>
          <w:tcPr>
            <w:tcW w:w="200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UA4000080683</w:t>
            </w:r>
          </w:p>
        </w:tc>
        <w:tc>
          <w:tcPr>
            <w:tcW w:w="200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2 730 556</w:t>
            </w:r>
          </w:p>
        </w:tc>
        <w:tc>
          <w:tcPr>
            <w:tcW w:w="210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682 639</w:t>
            </w:r>
          </w:p>
        </w:tc>
        <w:tc>
          <w:tcPr>
            <w:tcW w:w="150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2 214 738</w:t>
            </w:r>
          </w:p>
        </w:tc>
        <w:tc>
          <w:tcPr>
            <w:tcW w:w="150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Рішення суду або уповноваженого державного органу, яким накладено обмеження: №08/03/18049/НК від 30.09.2014</w:t>
            </w:r>
          </w:p>
          <w:p w:rsidR="00000000" w:rsidRDefault="00A56E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Cтрок обмеження: до усунення</w:t>
            </w:r>
          </w:p>
          <w:p w:rsidR="00000000" w:rsidRDefault="00A56E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Вiдповiдно до п.10 Прикiнцевих та перехiдних положень Закону України &lt;Про депозитарну систему</w:t>
            </w:r>
            <w:r>
              <w:rPr>
                <w:rFonts w:ascii="Times New Roman CYR" w:hAnsi="Times New Roman CYR" w:cs="Times New Roman CYR"/>
              </w:rPr>
              <w:t xml:space="preserve"> України&gt; та Листа Нацiональної комiсiї з цiнних паперiв та фондового ринку №08/03/18049/НК вiд 30.09.2014 року, акцiонери товариства, якi не заключили договору зi зберiгачем на обслуговування рахунку власних цiнних паперiв, не мають права голосу на загаль</w:t>
            </w:r>
            <w:r>
              <w:rPr>
                <w:rFonts w:ascii="Times New Roman CYR" w:hAnsi="Times New Roman CYR" w:cs="Times New Roman CYR"/>
              </w:rPr>
              <w:t>них зборах Товариства. Iнших обмежень не має.</w:t>
            </w:r>
          </w:p>
          <w:p w:rsidR="00000000" w:rsidRDefault="00A56E62">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A56E62">
      <w:pPr>
        <w:widowControl w:val="0"/>
        <w:autoSpaceDE w:val="0"/>
        <w:autoSpaceDN w:val="0"/>
        <w:adjustRightInd w:val="0"/>
        <w:spacing w:after="0" w:line="240" w:lineRule="auto"/>
        <w:rPr>
          <w:rFonts w:ascii="Times New Roman CYR" w:hAnsi="Times New Roman CYR" w:cs="Times New Roman CYR"/>
        </w:rPr>
      </w:pPr>
    </w:p>
    <w:p w:rsidR="00000000" w:rsidRDefault="00A56E62">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A56E6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000000" w:rsidRDefault="00A56E6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рiчну фiнансову звiтнiсть, тому URL-адреса вебсайту не зазн</w:t>
      </w:r>
      <w:r>
        <w:rPr>
          <w:rFonts w:ascii="Times New Roman CYR" w:hAnsi="Times New Roman CYR" w:cs="Times New Roman CYR"/>
          <w:sz w:val="24"/>
          <w:szCs w:val="24"/>
        </w:rPr>
        <w:t>ачена, оскiльки приватнi акцiонернi товариства не зобов'язанi розмiщувати таку iнформацiю на власному веб сайтi.</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URL-адреса вебсторінки Центру збору фінансової звітності, за якою розміщено електронний файл фінансової звітності: Особа не подає звiтнiсть до </w:t>
      </w:r>
      <w:r>
        <w:rPr>
          <w:rFonts w:ascii="Times New Roman CYR" w:hAnsi="Times New Roman CYR" w:cs="Times New Roman CYR"/>
          <w:sz w:val="24"/>
          <w:szCs w:val="24"/>
        </w:rPr>
        <w:t>ЦЗФЗ</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ПРАТ "ЯКУШИНЕЦЬКЕ" вiд iменi осiб, що здiйснюють управлiнськi функцiї та пiдписують рiчну iнформацiю емiтента, заявляє, що наскiльки це вiдповiдальним особам вiдомо, рiчна фiнансова звiтнiсть, пiдготов</w:t>
      </w:r>
      <w:r>
        <w:rPr>
          <w:rFonts w:ascii="Times New Roman CYR" w:hAnsi="Times New Roman CYR" w:cs="Times New Roman CYR"/>
          <w:sz w:val="24"/>
          <w:szCs w:val="24"/>
        </w:rPr>
        <w:t>лена вiдповiдно до Нацiональних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w:t>
      </w:r>
      <w:r>
        <w:rPr>
          <w:rFonts w:ascii="Times New Roman CYR" w:hAnsi="Times New Roman CYR" w:cs="Times New Roman CYR"/>
          <w:sz w:val="24"/>
          <w:szCs w:val="24"/>
        </w:rPr>
        <w:t>ий стан, прибутки та збитки емiтента. Звiт керiвництва включає достовiрне та об'єктивне подання iнформацiї про розвиток i здiйснення господарської дiяльностi i стан емiтента разом з описом основних ризикiв та невизначеностей, з якими вони стикаються у свої</w:t>
      </w:r>
      <w:r>
        <w:rPr>
          <w:rFonts w:ascii="Times New Roman CYR" w:hAnsi="Times New Roman CYR" w:cs="Times New Roman CYR"/>
          <w:sz w:val="24"/>
          <w:szCs w:val="24"/>
        </w:rPr>
        <w:t>й господарськiй дiяльностi. Вiд iменi керiвництва -Директор Сiгнаєвський Ю.М.</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Минулий</w:t>
      </w:r>
      <w:r>
        <w:rPr>
          <w:rFonts w:ascii="Times New Roman CYR" w:hAnsi="Times New Roman CYR" w:cs="Times New Roman CYR"/>
          <w:sz w:val="24"/>
          <w:szCs w:val="24"/>
        </w:rPr>
        <w:t xml:space="preserve"> рiк став важливим етапом для ПРАТ "ЯКУШИНЕЦЬКЕ". Незважаючи на складнi погоднi i економiчнi умови та вiйськовий стан, нам вдалося змiцнити свої позицiї. Завдяки вашiй пiдтримцi ми можемо продовжувати реалiзовувати стратегiчнi плани розвитку, якi спрямован</w:t>
      </w:r>
      <w:r>
        <w:rPr>
          <w:rFonts w:ascii="Times New Roman CYR" w:hAnsi="Times New Roman CYR" w:cs="Times New Roman CYR"/>
          <w:sz w:val="24"/>
          <w:szCs w:val="24"/>
        </w:rPr>
        <w:t>i на подальше пiдвищення прибутковостi та розширення ринкiв. Дякую за вашу довiру та впевненiсть у ПРАТ "ЯКУШИНЕЦЬКЕ". З повагою голова Наглядової ради Заремба Свiтлана Миколаївна.</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Минулий рiк продемонстрував стiйкiсть та гнучкiсть ПРАТ "ЯКУШИНЕЦЬКЕ" в умовах складних ринкових викликiв. Ми досягли важливих результатiв, зокрема, збiльшил</w:t>
      </w:r>
      <w:r>
        <w:rPr>
          <w:rFonts w:ascii="Times New Roman CYR" w:hAnsi="Times New Roman CYR" w:cs="Times New Roman CYR"/>
          <w:sz w:val="24"/>
          <w:szCs w:val="24"/>
        </w:rPr>
        <w:t>и обсяги виробництва та покращили якiсть продукцiї. Водночас, ми придiляли значну увагу пiдвищенню ефективностi управлiння та оптимiзацiї виробничих процесiв. Спiльно з вами ми зможемо забезпечити стабiльне та впевнене зростання нашого пiдприємства в майбу</w:t>
      </w:r>
      <w:r>
        <w:rPr>
          <w:rFonts w:ascii="Times New Roman CYR" w:hAnsi="Times New Roman CYR" w:cs="Times New Roman CYR"/>
          <w:sz w:val="24"/>
          <w:szCs w:val="24"/>
        </w:rPr>
        <w:t>тньому. Вдячний за вашу пiдтримку та зацiкавленiсть у нашому успiху. З повагою директор Сiгнаєвський Юрiй Миколайович.</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Основною дiяльнiстю емiтента є вирощування зернових та тех</w:t>
      </w:r>
      <w:r>
        <w:rPr>
          <w:rFonts w:ascii="Times New Roman CYR" w:hAnsi="Times New Roman CYR" w:cs="Times New Roman CYR"/>
          <w:sz w:val="24"/>
          <w:szCs w:val="24"/>
        </w:rPr>
        <w:t xml:space="preserve">нiчних культур, а саме: пшеницi, овесу, сої, кукурудзи на орендованих угiддях (земельних паях) загальна площа в 2025 роцi 213,51 га. Емiтент планує i в подальшому займатися сiльськогосподарською дiяльнiстю, тому для покращення стану грунтiв i їх родючостi </w:t>
      </w:r>
      <w:r>
        <w:rPr>
          <w:rFonts w:ascii="Times New Roman CYR" w:hAnsi="Times New Roman CYR" w:cs="Times New Roman CYR"/>
          <w:sz w:val="24"/>
          <w:szCs w:val="24"/>
        </w:rPr>
        <w:t>планується проведення сiвозмiн в посiвах, вивчення та використання передових технологiй в сiльському господарствi, планується збiльшення посiвних площ за рахунок укладання нових договорiв оренди земельних дiлянок.Також для покращення умов працi, економiї р</w:t>
      </w:r>
      <w:r>
        <w:rPr>
          <w:rFonts w:ascii="Times New Roman CYR" w:hAnsi="Times New Roman CYR" w:cs="Times New Roman CYR"/>
          <w:sz w:val="24"/>
          <w:szCs w:val="24"/>
        </w:rPr>
        <w:t>есурсiв i часу, покращення обробiтку грунту та якостi посiвiв, Товариство планує  продовжувати оновлення парку сiльськогосподарської технiки та причiпного обладнання, за рахунок купiвлi нової технiки та обладнання, а також ремонту та вiдновлення основних з</w:t>
      </w:r>
      <w:r>
        <w:rPr>
          <w:rFonts w:ascii="Times New Roman CYR" w:hAnsi="Times New Roman CYR" w:cs="Times New Roman CYR"/>
          <w:sz w:val="24"/>
          <w:szCs w:val="24"/>
        </w:rPr>
        <w:t>асобiв Товариства.</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Аграрний сектор, в якому здiйснює свою дiяльнiсть емiтент, має низку особливостей, що позначаються на формуваннi його потенцiалу - аграрного потенцiалу. Галузь є життєзабезпечуючою, оскiльки виготовляє продукцiю, без якої люди не зможуть</w:t>
      </w:r>
      <w:r>
        <w:rPr>
          <w:rFonts w:ascii="Times New Roman CYR" w:hAnsi="Times New Roman CYR" w:cs="Times New Roman CYR"/>
          <w:sz w:val="24"/>
          <w:szCs w:val="24"/>
        </w:rPr>
        <w:t xml:space="preserve"> iснувати. Розвиток аграрного сектору пов'язаний з бiогеографiчним середовищем та залежить вiд природно-клiматичних умов. Це зумовлено насамперед використанням землi як специфiчного засобу виробництва, її родючiстю, мiсцем розташування. Специфiчнiсть землi</w:t>
      </w:r>
      <w:r>
        <w:rPr>
          <w:rFonts w:ascii="Times New Roman CYR" w:hAnsi="Times New Roman CYR" w:cs="Times New Roman CYR"/>
          <w:sz w:val="24"/>
          <w:szCs w:val="24"/>
        </w:rPr>
        <w:t xml:space="preserve"> як знаряддя працi полягає в тому, що вона одночасно є i предметом працi. До </w:t>
      </w:r>
      <w:r>
        <w:rPr>
          <w:rFonts w:ascii="Times New Roman CYR" w:hAnsi="Times New Roman CYR" w:cs="Times New Roman CYR"/>
          <w:sz w:val="24"/>
          <w:szCs w:val="24"/>
        </w:rPr>
        <w:lastRenderedPageBreak/>
        <w:t xml:space="preserve">процесу сiльськогосподарського виробництва залучено не три, а чотири ресурси - основнi й оборотнi фонди, жива праця i земля, при чому земля в аграрному секторi є головним засобом </w:t>
      </w:r>
      <w:r>
        <w:rPr>
          <w:rFonts w:ascii="Times New Roman CYR" w:hAnsi="Times New Roman CYR" w:cs="Times New Roman CYR"/>
          <w:sz w:val="24"/>
          <w:szCs w:val="24"/>
        </w:rPr>
        <w:t xml:space="preserve">виробництва. Як основний засiб виробництва земля вимагає свого вiдтворення на розширенiй основi, що породжує низку специфiчних проблем, пов'язаних iз збереженням, рацiональним використанням i пiдвищенням родючостi грунту. До особливостей аграрного сектору </w:t>
      </w:r>
      <w:r>
        <w:rPr>
          <w:rFonts w:ascii="Times New Roman CYR" w:hAnsi="Times New Roman CYR" w:cs="Times New Roman CYR"/>
          <w:sz w:val="24"/>
          <w:szCs w:val="24"/>
        </w:rPr>
        <w:t>вiдноситься сезоннiсть виробництва, що позначається на органiзацiї працi в цiй галузi, зумовлює особливостi реалiзацiї продукцiї та надходження грошових коштiв. Iнтервал мiж робочим перiодом i результатами у сiльському господарствi значно впливає на формув</w:t>
      </w:r>
      <w:r>
        <w:rPr>
          <w:rFonts w:ascii="Times New Roman CYR" w:hAnsi="Times New Roman CYR" w:cs="Times New Roman CYR"/>
          <w:sz w:val="24"/>
          <w:szCs w:val="24"/>
        </w:rPr>
        <w:t>ання доходiв працiвникiв цiєї сфери, оскiльки остаточний розмiр таких доходiв стає вiдомим лише пiсля реалiзацiї сiльськогосподарської продукцiї. Пiдприємства аграрного сектору працюють в умовах пiдвищеного ризику та невизначеностi. Причиною цього є те, що</w:t>
      </w:r>
      <w:r>
        <w:rPr>
          <w:rFonts w:ascii="Times New Roman CYR" w:hAnsi="Times New Roman CYR" w:cs="Times New Roman CYR"/>
          <w:sz w:val="24"/>
          <w:szCs w:val="24"/>
        </w:rPr>
        <w:t xml:space="preserve"> економiчний процес вiдтворення переплiтається з природним процесом зростання i розвитку живих органiзмiв, що розвиваються на основi бiологiчних законiв. В силу своєї специфiки аграрний сектор є менш iнвестицiйно привабливою галуззю порiвняно з iншими галу</w:t>
      </w:r>
      <w:r>
        <w:rPr>
          <w:rFonts w:ascii="Times New Roman CYR" w:hAnsi="Times New Roman CYR" w:cs="Times New Roman CYR"/>
          <w:sz w:val="24"/>
          <w:szCs w:val="24"/>
        </w:rPr>
        <w:t>зями економiки. Це спричинено тривалим перiодом виробництва сiльськогосподарської продукцiї, який продовжується нерiдко бiльше року, характеризується поступовим наростанням вкладень вiд початку виробництва до його завершення та одночасним вивiльненням кошт</w:t>
      </w:r>
      <w:r>
        <w:rPr>
          <w:rFonts w:ascii="Times New Roman CYR" w:hAnsi="Times New Roman CYR" w:cs="Times New Roman CYR"/>
          <w:sz w:val="24"/>
          <w:szCs w:val="24"/>
        </w:rPr>
        <w:t>iв у кiнцi виробництва при одержаннi готової продукцiї. При цьому треба взяти до уваги ще й iснування пiдвищеного ризику через незалежнi вiд виробника обставини - несприятливi природно-клiматичнi умови, ринкова вартiсть продукцiї та iнше. Перелiченi вище о</w:t>
      </w:r>
      <w:r>
        <w:rPr>
          <w:rFonts w:ascii="Times New Roman CYR" w:hAnsi="Times New Roman CYR" w:cs="Times New Roman CYR"/>
          <w:sz w:val="24"/>
          <w:szCs w:val="24"/>
        </w:rPr>
        <w:t>собливостi позначаються на визначенi потенцiалу емiтента та його подальшого розвитку.</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w:t>
      </w:r>
      <w:r>
        <w:rPr>
          <w:rFonts w:ascii="Times New Roman CYR" w:hAnsi="Times New Roman CYR" w:cs="Times New Roman CYR"/>
          <w:sz w:val="24"/>
          <w:szCs w:val="24"/>
        </w:rPr>
        <w:t>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деривативи не у</w:t>
      </w:r>
      <w:r>
        <w:rPr>
          <w:rFonts w:ascii="Times New Roman CYR" w:hAnsi="Times New Roman CYR" w:cs="Times New Roman CYR"/>
          <w:sz w:val="24"/>
          <w:szCs w:val="24"/>
        </w:rPr>
        <w:t>кладалися, правочини щодо похiдних цiнних паперiв не укладалися.</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w:t>
      </w:r>
      <w:r>
        <w:rPr>
          <w:rFonts w:ascii="Times New Roman CYR" w:hAnsi="Times New Roman CYR" w:cs="Times New Roman CYR"/>
          <w:sz w:val="24"/>
          <w:szCs w:val="24"/>
        </w:rPr>
        <w:t>еджування</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Основна мета управлiння фiнансовими ризиками - мiнiмiзацiя пов'язаних з ними фiнансових втрат. Головними завданнями управлiння фiнансовими ризиками є оптимiзацiя структури капiталу (спiввiдношення мiж власними та позичковими джерелами формування </w:t>
      </w:r>
      <w:r>
        <w:rPr>
          <w:rFonts w:ascii="Times New Roman CYR" w:hAnsi="Times New Roman CYR" w:cs="Times New Roman CYR"/>
          <w:sz w:val="24"/>
          <w:szCs w:val="24"/>
        </w:rPr>
        <w:t>фiнансових ресурсiв) та оптимiзацiя портфеля боргових зобов'язань. Полiтика емiтента щодо управлiння фiнансовими ризиками - система цiлей i завдань управлiння ризиками, а також сукупнiсть методiв i засобiв досягнення цих цiлей. Полiтика управлiння фiнансов</w:t>
      </w:r>
      <w:r>
        <w:rPr>
          <w:rFonts w:ascii="Times New Roman CYR" w:hAnsi="Times New Roman CYR" w:cs="Times New Roman CYR"/>
          <w:sz w:val="24"/>
          <w:szCs w:val="24"/>
        </w:rPr>
        <w:t xml:space="preserve">ими ризиками знаходить своє вiдображення у стратегiї i тактицi виявлення та нейтралiзацiї ризикiв. Емiтентом не використовується метод страхування цiнового ризику за угодами на бiржi (товарнiй, фондовiй) - операцiї хеджування. </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w:t>
      </w:r>
      <w:r>
        <w:rPr>
          <w:rFonts w:ascii="Times New Roman CYR" w:hAnsi="Times New Roman CYR" w:cs="Times New Roman CYR"/>
          <w:sz w:val="24"/>
          <w:szCs w:val="24"/>
        </w:rPr>
        <w:t>вих ризиків, кредитного ризику, ризику ліквідності та/або ризику грошових потоків</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має схильнiсть до цiнових ризикiв.</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має схильностi до кредитного ризику (емiтент не має кредитних зобов'язань).</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має схильностi до ризику лiквiдностi</w:t>
      </w:r>
      <w:r>
        <w:rPr>
          <w:rFonts w:ascii="Times New Roman CYR" w:hAnsi="Times New Roman CYR" w:cs="Times New Roman CYR"/>
          <w:sz w:val="24"/>
          <w:szCs w:val="24"/>
        </w:rPr>
        <w:t>/та або ризику грошових потокiв.</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2. Інформація про загальні збори акціонерів (учасників) та загальний опис прийнятих на таких зборах рішень: 1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Дата проведення</w:t>
            </w:r>
          </w:p>
        </w:tc>
        <w:tc>
          <w:tcPr>
            <w:tcW w:w="7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27.10.2025</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Спосіб проведення</w:t>
            </w:r>
          </w:p>
        </w:tc>
        <w:tc>
          <w:tcPr>
            <w:tcW w:w="7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очне голосування</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електронне голосування</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r>
              <w:rPr>
                <w:rFonts w:ascii="Times New Roman CYR" w:hAnsi="Times New Roman CYR" w:cs="Times New Roman CYR"/>
                <w:sz w:val="24"/>
                <w:szCs w:val="24"/>
              </w:rPr>
              <w:tab/>
            </w:r>
            <w:r>
              <w:rPr>
                <w:rFonts w:ascii="Times New Roman CYR" w:hAnsi="Times New Roman CYR" w:cs="Times New Roman CYR"/>
                <w:sz w:val="24"/>
                <w:szCs w:val="24"/>
              </w:rPr>
              <w:t>опитування (дистанційно)</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Суб'єкт скликання</w:t>
            </w:r>
          </w:p>
        </w:tc>
        <w:tc>
          <w:tcPr>
            <w:tcW w:w="7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w:t>
            </w:r>
          </w:p>
        </w:tc>
      </w:tr>
      <w:tr w:rsidR="00000000">
        <w:tblPrEx>
          <w:tblCellMar>
            <w:top w:w="0" w:type="dxa"/>
            <w:bottom w:w="0" w:type="dxa"/>
          </w:tblCellMar>
        </w:tblPrEx>
        <w:trPr>
          <w:trHeight w:val="200"/>
        </w:trPr>
        <w:tc>
          <w:tcPr>
            <w:tcW w:w="10000" w:type="dxa"/>
            <w:gridSpan w:val="2"/>
            <w:tcBorders>
              <w:top w:val="single" w:sz="6" w:space="0" w:color="auto"/>
              <w:bottom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Питання порядку денного та прийняті рішення:</w:t>
            </w:r>
          </w:p>
        </w:tc>
      </w:tr>
      <w:tr w:rsidR="00000000">
        <w:tblPrEx>
          <w:tblCellMar>
            <w:top w:w="0" w:type="dxa"/>
            <w:bottom w:w="0" w:type="dxa"/>
          </w:tblCellMar>
        </w:tblPrEx>
        <w:trPr>
          <w:trHeight w:val="200"/>
        </w:trPr>
        <w:tc>
          <w:tcPr>
            <w:tcW w:w="10000" w:type="dxa"/>
            <w:gridSpan w:val="2"/>
            <w:tcBorders>
              <w:top w:val="single" w:sz="6" w:space="0" w:color="auto"/>
              <w:bottom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ПЕРШЕ ПИТАННЯ ПОРЯДКУ ДЕННОГО: ЗВIТ ДИРЕКТОРА ПРО ПIДСУМКИ ФIНАНСОВО - ГОСПОДАРСЬКОЇ ДIЯЛЬНОСТI ЗА 2023-2024 РОКИ, ПРИЙНЯТТЯ РIШЕННЯ ЗА НАСЛIДКАМИ РОЗГЛЯДУ ЗВIТУ.</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звiт Директора  про пiдсумки фiнансово - господарської дiяльност</w:t>
            </w:r>
            <w:r>
              <w:rPr>
                <w:rFonts w:ascii="Times New Roman CYR" w:hAnsi="Times New Roman CYR" w:cs="Times New Roman CYR"/>
                <w:sz w:val="24"/>
                <w:szCs w:val="24"/>
              </w:rPr>
              <w:t>i за 2023-2024 роки. Роботу Директора визнати задовiльною.</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ДРУГЕ ПИТАННЯ ПОРЯДКУ ДЕННОГО:ЗВIТ НАГЛЯДОВОЇ РАДИ ЗА 2023-2024 РОКИ. ПРИЙНЯТТЯ РIШЕННЯ ЗА НАСЛIДКАМИ РОЗГЛЯДУ ЗВIТУ.</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звiт Наглядової ради за 2023-2024 роки. Роботу Наг</w:t>
            </w:r>
            <w:r>
              <w:rPr>
                <w:rFonts w:ascii="Times New Roman CYR" w:hAnsi="Times New Roman CYR" w:cs="Times New Roman CYR"/>
                <w:sz w:val="24"/>
                <w:szCs w:val="24"/>
              </w:rPr>
              <w:t>лядової ради визнати задовiльною.</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ТРЕТЄ ПИТАННЯ ПОРЯДКУ ДЕННОГО:ЗАТВЕРДЖЕННЯ РЕЗУЛЬТАТIВ ФIНАНСОВО- ГОСПОДАРСЬКОЇ ДIЯЛЬНОСТI ЗА 2023-2024 РОКИ ТА РОЗПОДIЛ ПРИБУТКУ ТОВАРИСТВА.</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результати фiнансово- господарської дiяльностi Това</w:t>
            </w:r>
            <w:r>
              <w:rPr>
                <w:rFonts w:ascii="Times New Roman CYR" w:hAnsi="Times New Roman CYR" w:cs="Times New Roman CYR"/>
                <w:sz w:val="24"/>
                <w:szCs w:val="24"/>
              </w:rPr>
              <w:t>риства за 2023-2024 роки. Затвердити прибуток Товариства за 2023 рiк у сумi 209,1 тис. грн. Направити 100% отриманого прибутку на використання в господарськiй дiяльностi Товариства. Затвердити прибуток Товариства за 2024 рiк у сумi 1 155,8  тис. грн. Напра</w:t>
            </w:r>
            <w:r>
              <w:rPr>
                <w:rFonts w:ascii="Times New Roman CYR" w:hAnsi="Times New Roman CYR" w:cs="Times New Roman CYR"/>
                <w:sz w:val="24"/>
                <w:szCs w:val="24"/>
              </w:rPr>
              <w:t>вити 100% отриманого прибутку на використання в господарськiй дiяльностi Товариства.</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ЧЕТВЕРТЕ ПИТАННЯ ПОРЯДКУ ДЕННОГО: ПРИЙНЯТТЯ РIШЕННЯ ПРО ПОПЕРЕДНЄ НАДАННЯ ЗГОДИ НА ВЧИНЕННЯ ЗНАЧНИХ ПРАВОЧИНIВ, ЯКI МОЖУТЬ ВЧИНЯТИСЯ ТОВАРИСТВОМ ПРОТЯГОМ НЕ БIЛЬШ ЯК ОДНОГ</w:t>
            </w:r>
            <w:r>
              <w:rPr>
                <w:rFonts w:ascii="Times New Roman CYR" w:hAnsi="Times New Roman CYR" w:cs="Times New Roman CYR"/>
                <w:sz w:val="24"/>
                <w:szCs w:val="24"/>
              </w:rPr>
              <w:t>О РОКУ З ДАТИ ПРИЙНЯТТЯ ТАКОГО РIШЕННЯ. ВИЗНАЧЕННЯ ОСОБИ УПОВНОВАЖЕНОЇ НА УКЛАДАННЯ (ПIДПИСАННЯ) ЗНАЧНИХ ПРАВОЧИНIВ.</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Попередньо надати згоду на вчинення Товариством протягом одного року з дати прийняття цього рiшення Загальними зборами на</w:t>
            </w:r>
            <w:r>
              <w:rPr>
                <w:rFonts w:ascii="Times New Roman CYR" w:hAnsi="Times New Roman CYR" w:cs="Times New Roman CYR"/>
                <w:sz w:val="24"/>
                <w:szCs w:val="24"/>
              </w:rPr>
              <w:t>ступних правочинiв: продаж рухомого та нерухомого майна, вiдчуження (продаж) земельних дiлянок, подiл земельних дiлянок, вступ майном, земельними дiлянками Товариства до iнших пiдприємств та товариств, отримання кредитiв,  та здiйснення будь-яких iнших зна</w:t>
            </w:r>
            <w:r>
              <w:rPr>
                <w:rFonts w:ascii="Times New Roman CYR" w:hAnsi="Times New Roman CYR" w:cs="Times New Roman CYR"/>
                <w:sz w:val="24"/>
                <w:szCs w:val="24"/>
              </w:rPr>
              <w:t>чних правочинiв з iншими суб'єктами господарювання  граничною сукупною вартiстю, що не перевищуватиме 10,0 млн. грн. Надати згоду та уповноважити Директора Товариства на укладання (пiдписання) попередньо схвалених в цьому пунктi порядку денного значних пра</w:t>
            </w:r>
            <w:r>
              <w:rPr>
                <w:rFonts w:ascii="Times New Roman CYR" w:hAnsi="Times New Roman CYR" w:cs="Times New Roman CYR"/>
                <w:sz w:val="24"/>
                <w:szCs w:val="24"/>
              </w:rPr>
              <w:t xml:space="preserve">вочинiв з усiма змiнами та доповненнями до них. </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П'ЯТЕ ПИТАННЯ ПОРЯДКУ ДЕННОГО: ПРИЙНЯТТЯ РIШЕННЯ ПРО ПРИПИНЕННЯ ПОВНОВАЖЕНЬ НАГЛЯДОВОЇ РАДИ ТОВАРИСТВА.</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У зв'язку iз закiнченням термiну перебування на посадi припинити повноваження Наглядо</w:t>
            </w:r>
            <w:r>
              <w:rPr>
                <w:rFonts w:ascii="Times New Roman CYR" w:hAnsi="Times New Roman CYR" w:cs="Times New Roman CYR"/>
                <w:sz w:val="24"/>
                <w:szCs w:val="24"/>
              </w:rPr>
              <w:t>вої ради Товариства у складi голова Наглядової ради Заремба Свiтлана Миколаївна, члени Наглядової ради Сiгнаєвський Роман Юрiйович, Сiгнаєвська Марина Iванiвна.</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ШОСТЕ ПИТАННЯ ПОРЯДКУ ДЕННОГО: ОБРАННЯ ЧЛЕНIВ НАГЛЯДОВОЇ РАДИ ТОВАРИСТВА.</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Обр</w:t>
            </w:r>
            <w:r>
              <w:rPr>
                <w:rFonts w:ascii="Times New Roman CYR" w:hAnsi="Times New Roman CYR" w:cs="Times New Roman CYR"/>
                <w:sz w:val="24"/>
                <w:szCs w:val="24"/>
              </w:rPr>
              <w:t xml:space="preserve">ати Наглядову раду ПРИВАТНОГО АКЦIОНЕРНОГО ТОВАРИСТВА "ЯКУШИНЕЦЬКЕ" у складi: Заремба Свiтлана Миколаївна, </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Сiгнаєвський Роман Юрiйович, Сiгнаєвська Марина Iванiвна.</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СЬОМЕ ПИТАННЯ ПОРЯДКУ ДЕННОГО:ЗАТВЕРДЖЕННЯ УМОВ ЦИВIЛЬНО-ПРАВОВИХ ДОГОВОРIВ З ЧЛЕНАМИ НАГЛ</w:t>
            </w:r>
            <w:r>
              <w:rPr>
                <w:rFonts w:ascii="Times New Roman CYR" w:hAnsi="Times New Roman CYR" w:cs="Times New Roman CYR"/>
                <w:sz w:val="24"/>
                <w:szCs w:val="24"/>
              </w:rPr>
              <w:t>ЯДОВОЇ РАДИ. ВИЗНАЧЕННЯ ОСОБИ УПОВНОВАЖЕНОЇ НА ПIДПИСАННЯ ВIД IМЕНI ТОВАРИСТВА ДОГОВОРIВ З ЧЛЕНАМИ НАГЛЯДОВОЇ РАДИ.</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умови цивiльно-правових договорiв з членами Наглядової ради. Визначити Директора Товариства уповноваженою особо</w:t>
            </w:r>
            <w:r>
              <w:rPr>
                <w:rFonts w:ascii="Times New Roman CYR" w:hAnsi="Times New Roman CYR" w:cs="Times New Roman CYR"/>
                <w:sz w:val="24"/>
                <w:szCs w:val="24"/>
              </w:rPr>
              <w:t>ю на пiдписання вiд iменi Товариства договорiв з членами Наглядової ради.</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URL-адреса протоколу загальних зборів:</w:t>
            </w:r>
          </w:p>
        </w:tc>
        <w:tc>
          <w:tcPr>
            <w:tcW w:w="7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https://yakushinecke.pat.ua/documents/protokoli-zboriv?doc=120522</w:t>
            </w:r>
          </w:p>
        </w:tc>
      </w:tr>
    </w:tbl>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000000" w:rsidRDefault="00A56E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w:t>
            </w:r>
            <w:r>
              <w:rPr>
                <w:rFonts w:ascii="Times New Roman CYR" w:hAnsi="Times New Roman CYR" w:cs="Times New Roman CYR"/>
              </w:rPr>
              <w:t>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Заремба Свiтлана Миколаївна (весь звiтний перiод))</w:t>
            </w:r>
          </w:p>
        </w:tc>
        <w:tc>
          <w:tcPr>
            <w:tcW w:w="115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Сiгнаєвський Роман Юрiйович</w:t>
            </w:r>
          </w:p>
        </w:tc>
        <w:tc>
          <w:tcPr>
            <w:tcW w:w="115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Сiгнаєвська Марина Iванiвна</w:t>
            </w:r>
          </w:p>
        </w:tc>
        <w:tc>
          <w:tcPr>
            <w:tcW w:w="115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A56E62">
      <w:pPr>
        <w:widowControl w:val="0"/>
        <w:autoSpaceDE w:val="0"/>
        <w:autoSpaceDN w:val="0"/>
        <w:adjustRightInd w:val="0"/>
        <w:spacing w:after="0" w:line="240" w:lineRule="auto"/>
        <w:rPr>
          <w:rFonts w:ascii="Times New Roman CYR" w:hAnsi="Times New Roman CYR" w:cs="Times New Roman CYR"/>
        </w:rPr>
      </w:pPr>
    </w:p>
    <w:p w:rsidR="00000000" w:rsidRDefault="00A56E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07.04.2025 р. ВИРIШИЛИ:</w:t>
            </w:r>
          </w:p>
          <w:p w:rsidR="00000000" w:rsidRDefault="00A56E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1.Затвердити рiчну iнформацiю за 2023 рiк, розмiстити на власному сайтi та подати до НКЦПФР.</w:t>
            </w:r>
          </w:p>
          <w:p w:rsidR="00000000" w:rsidRDefault="00A56E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2.Затвердити рiчну iнформацiю за 2024 рiк, розмiстити на власному сайтi та подати до НКЦПФР.</w:t>
            </w:r>
          </w:p>
          <w:p w:rsidR="00000000" w:rsidRDefault="00A56E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24.09.2025 р. ВИРIШИЛИ:</w:t>
            </w:r>
          </w:p>
          <w:p w:rsidR="00000000" w:rsidRDefault="00A56E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Провести рiчнi Зага</w:t>
            </w:r>
            <w:r>
              <w:rPr>
                <w:rFonts w:ascii="Times New Roman CYR" w:hAnsi="Times New Roman CYR" w:cs="Times New Roman CYR"/>
              </w:rPr>
              <w:t xml:space="preserve">льнi збори акцiонерiв ПРАТ "ЯКУШИНЕЦЬКЕ" 27 жовтня 2025 року дистанцiйно. </w:t>
            </w:r>
          </w:p>
          <w:p w:rsidR="00000000" w:rsidRDefault="00A56E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Затвердити проект порядку денного рiчних Загальних зборiв та проекти рiшень щодо кожного з питань, включених до проекту порядку денного рiчних Загальних зборiв.</w:t>
            </w:r>
          </w:p>
          <w:p w:rsidR="00000000" w:rsidRDefault="00A56E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Визначити вiдс</w:t>
            </w:r>
            <w:r>
              <w:rPr>
                <w:rFonts w:ascii="Times New Roman CYR" w:hAnsi="Times New Roman CYR" w:cs="Times New Roman CYR"/>
              </w:rPr>
              <w:t>утнiсть взаємозв'язку мiж 1,2,3,4 питаннями проекту порядку денного. Визначити наявнiсть взаємозв'язку мiж 5,6,7 питаннями проекту порядку денного. Зазначити наявнiсть взаємозв'язку в повiдомлення про проведення Загальних зборiв.</w:t>
            </w:r>
          </w:p>
          <w:p w:rsidR="00000000" w:rsidRDefault="00A56E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4. Визначити Мосiну Тетяну</w:t>
            </w:r>
            <w:r>
              <w:rPr>
                <w:rFonts w:ascii="Times New Roman CYR" w:hAnsi="Times New Roman CYR" w:cs="Times New Roman CYR"/>
              </w:rPr>
              <w:t xml:space="preserve"> Вячеславiвну (iдентифiкацiйний номер 2772109721, паспорт АА 565416 виданий Ленiнським  РВ  УМВС України у Вiнницькiй областi, дата видачi 09.09.1997 року  уповноваженою особою взаємодiяти з Центральним депозитарiєм при проведеннi Загальних зборiв 27 жовтн</w:t>
            </w:r>
            <w:r>
              <w:rPr>
                <w:rFonts w:ascii="Times New Roman CYR" w:hAnsi="Times New Roman CYR" w:cs="Times New Roman CYR"/>
              </w:rPr>
              <w:t>я 2025 року.</w:t>
            </w:r>
          </w:p>
          <w:p w:rsidR="00000000" w:rsidRDefault="00A56E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Строк дiї повноважень протягом 3 (трьох) мiсяцiв з дня проведення загальних зборiв</w:t>
            </w:r>
          </w:p>
          <w:p w:rsidR="00000000" w:rsidRDefault="00A56E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5. Затвердити Повiдомлення про проведення рiчних Загальних зборiв 27 жовтня 2025 року.</w:t>
            </w:r>
          </w:p>
          <w:p w:rsidR="00000000" w:rsidRDefault="00A56E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6. Повiдомити акцiонерiв про проведення рiчних Загальних зборiв через депозитарну систему України.</w:t>
            </w:r>
          </w:p>
          <w:p w:rsidR="00000000" w:rsidRDefault="00A56E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7. Визначити 25 вересня 2025 року датою складання перелiку акцiонерiв, якi мають бути повiдомленнi про проведення рiчних Загальних зборiв, 22 жовтня 2025 рок</w:t>
            </w:r>
            <w:r>
              <w:rPr>
                <w:rFonts w:ascii="Times New Roman CYR" w:hAnsi="Times New Roman CYR" w:cs="Times New Roman CYR"/>
              </w:rPr>
              <w:t>у датою складання перелiку акцiонерiв, якi мають право на участь у рiчних Загальних зборах.</w:t>
            </w:r>
          </w:p>
          <w:p w:rsidR="00000000" w:rsidRDefault="00A56E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8. Призначити реєстрацiйну комiсiю в особi голови реєстрацiйної комiсiї Горової Тетяни Iванiвни.</w:t>
            </w:r>
          </w:p>
          <w:p w:rsidR="00000000" w:rsidRDefault="00A56E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9. Обрати головою Загальних зборiв Сiгнаєвського Юрiя Миколайовича,</w:t>
            </w:r>
            <w:r>
              <w:rPr>
                <w:rFonts w:ascii="Times New Roman CYR" w:hAnsi="Times New Roman CYR" w:cs="Times New Roman CYR"/>
              </w:rPr>
              <w:t xml:space="preserve"> секретарем загальних зборiв  Сiгнаєвську Марину Iванiвну.</w:t>
            </w:r>
          </w:p>
          <w:p w:rsidR="00000000" w:rsidRDefault="00A56E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10. Обрати лiчильну комiсiю в особi голови лiчильної комiсiї Горової Тетяни Iванiвни. Повноваження лiчильної комiсiї припинити пiсля виконання всiх </w:t>
            </w:r>
            <w:r>
              <w:rPr>
                <w:rFonts w:ascii="Times New Roman CYR" w:hAnsi="Times New Roman CYR" w:cs="Times New Roman CYR"/>
              </w:rPr>
              <w:lastRenderedPageBreak/>
              <w:t>повноважень, покладених на лiчильну комiсiю вiдпо</w:t>
            </w:r>
            <w:r>
              <w:rPr>
                <w:rFonts w:ascii="Times New Roman CYR" w:hAnsi="Times New Roman CYR" w:cs="Times New Roman CYR"/>
              </w:rPr>
              <w:t xml:space="preserve">вiдно до чинного законодавства. </w:t>
            </w:r>
          </w:p>
          <w:p w:rsidR="00000000" w:rsidRDefault="00A56E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22.10.2025 р. ВИРIШИЛИ: Затвердити форму та текст єдиного бюлетеня для голосування з питання обрання органiв Товариства на рiчних загальних зборах  ПРАТ "ЯКУШИНЕЦЬКЕ" 27 жовтня 2025 року.</w:t>
            </w:r>
          </w:p>
          <w:p w:rsidR="00000000" w:rsidRDefault="00A56E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30.10.2025 р. ВИРIШИЛИ: Обрати Заре</w:t>
            </w:r>
            <w:r>
              <w:rPr>
                <w:rFonts w:ascii="Times New Roman CYR" w:hAnsi="Times New Roman CYR" w:cs="Times New Roman CYR"/>
              </w:rPr>
              <w:t>мбу Свiтлану Миколаївну головою Наглядової ради  ПРАТ "ЯКУШИНЕЦЬКЕ".</w:t>
            </w:r>
          </w:p>
        </w:tc>
      </w:tr>
    </w:tbl>
    <w:p w:rsidR="00000000" w:rsidRDefault="00A56E62">
      <w:pPr>
        <w:widowControl w:val="0"/>
        <w:autoSpaceDE w:val="0"/>
        <w:autoSpaceDN w:val="0"/>
        <w:adjustRightInd w:val="0"/>
        <w:spacing w:after="0" w:line="240" w:lineRule="auto"/>
        <w:rPr>
          <w:rFonts w:ascii="Times New Roman CYR" w:hAnsi="Times New Roman CYR" w:cs="Times New Roman CYR"/>
        </w:rPr>
      </w:pPr>
    </w:p>
    <w:p w:rsidR="00000000" w:rsidRDefault="00A56E6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w:t>
      </w:r>
      <w:r>
        <w:rPr>
          <w:rFonts w:ascii="Times New Roman CYR" w:hAnsi="Times New Roman CYR" w:cs="Times New Roman CYR"/>
          <w:sz w:val="24"/>
          <w:szCs w:val="24"/>
        </w:rPr>
        <w:t>зглядались та не приймались рiшення по питанням оцiнки складу, структури та дiяльностi Наглядової ради.</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оцiнка компетентностi та ефективностi кожного члена ради, включаючи iнформацiю про його дiяльнiсть як посадової особи iнших юридичних осiб або iншу </w:t>
      </w:r>
      <w:r>
        <w:rPr>
          <w:rFonts w:ascii="Times New Roman CYR" w:hAnsi="Times New Roman CYR" w:cs="Times New Roman CYR"/>
          <w:sz w:val="24"/>
          <w:szCs w:val="24"/>
        </w:rPr>
        <w:t>дiяльнiсть - оплачувану i безоплатну;</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Органами Товариства не розглядались та не приймались рiшення по питанням оцiнки компетентностi та ефективностi кожного члена Наглядової ради. </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w:t>
      </w:r>
      <w:r>
        <w:rPr>
          <w:rFonts w:ascii="Times New Roman CYR" w:hAnsi="Times New Roman CYR" w:cs="Times New Roman CYR"/>
          <w:sz w:val="24"/>
          <w:szCs w:val="24"/>
        </w:rPr>
        <w:t xml:space="preserve">ва не розглядались та не приймались рiшення по питанням незалежностi кожного члена ради. </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не створенi.</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w:t>
      </w:r>
      <w:r>
        <w:rPr>
          <w:rFonts w:ascii="Times New Roman CYR" w:hAnsi="Times New Roman CYR" w:cs="Times New Roman CYR"/>
          <w:sz w:val="24"/>
          <w:szCs w:val="24"/>
        </w:rPr>
        <w:t>й особи.</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Наглядовою радою здiйснювався контроль дiяльностi виконавчого органу вiдповiдно до Статуту Товариства та законодавства. Оцiнка дiяльностi Наглядової ради вiдбувається шляхом затвердження звiту Наглядової ради за звiтний</w:t>
      </w:r>
      <w:r>
        <w:rPr>
          <w:rFonts w:ascii="Times New Roman CYR" w:hAnsi="Times New Roman CYR" w:cs="Times New Roman CYR"/>
          <w:sz w:val="24"/>
          <w:szCs w:val="24"/>
        </w:rPr>
        <w:t xml:space="preserve"> рiк на рiчних Загальних зборах акцiонерiв. Робота наглядової ради за звiтний перiод визнана задовiльною та такою, що вiдповiдає метi та напрямкам дiяльностi АТ. Рiшення наглядової ради, якi стосувалися дiяльностi пiдприємства позитивно вплинули на фiнансо</w:t>
      </w:r>
      <w:r>
        <w:rPr>
          <w:rFonts w:ascii="Times New Roman CYR" w:hAnsi="Times New Roman CYR" w:cs="Times New Roman CYR"/>
          <w:sz w:val="24"/>
          <w:szCs w:val="24"/>
        </w:rPr>
        <w:t>во-господарську дiяльнiсть товариства.</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w:t>
      </w:r>
      <w:r>
        <w:rPr>
          <w:rFonts w:ascii="Times New Roman CYR" w:hAnsi="Times New Roman CYR" w:cs="Times New Roman CYR"/>
          <w:sz w:val="24"/>
          <w:szCs w:val="24"/>
        </w:rPr>
        <w:t>рiшня структура ради - голова наглядової ради та 2 члени наглядової ради. Основною органiзацiйною формою роботи Наглядової ради є засiдання. Засiдання Наглядової ради скликаються за iнiцiативою голови Наглядової ради або на вимогу члена Наглядової ради, аб</w:t>
      </w:r>
      <w:r>
        <w:rPr>
          <w:rFonts w:ascii="Times New Roman CYR" w:hAnsi="Times New Roman CYR" w:cs="Times New Roman CYR"/>
          <w:sz w:val="24"/>
          <w:szCs w:val="24"/>
        </w:rPr>
        <w:t>о на вимогу виконавчого органу чи його члена. На вимогу Наглядової ради в її засiданнi або в розглядi окремих питань порядку денного засiдання беруть участь члени виконавчого органу Товариства, або iншi особи в поряду, встановленому Положенням про Наглядов</w:t>
      </w:r>
      <w:r>
        <w:rPr>
          <w:rFonts w:ascii="Times New Roman CYR" w:hAnsi="Times New Roman CYR" w:cs="Times New Roman CYR"/>
          <w:sz w:val="24"/>
          <w:szCs w:val="24"/>
        </w:rPr>
        <w:t>у раду. Засiдання Наглядової ради проводяться за необхiднiстю, але не рiдше одного разу на квартал. Засiдання Наглядової ради вважається правомочним, якщо в ньому беруть участь бiльше половини її складу. У разi дострокового припинення повноважень одного чи</w:t>
      </w:r>
      <w:r>
        <w:rPr>
          <w:rFonts w:ascii="Times New Roman CYR" w:hAnsi="Times New Roman CYR" w:cs="Times New Roman CYR"/>
          <w:sz w:val="24"/>
          <w:szCs w:val="24"/>
        </w:rPr>
        <w:t xml:space="preserve"> кiлькох членiв Наглядової ради i до обрання всього складу Наглядової ради засiдання Наглядової ради є правомочними для вирiшення питань вiдповiдно до її компетенцiї за умови, що кiлькiсть членiв Наглядової ради, повноваження яких є чинними, становить бiль</w:t>
      </w:r>
      <w:r>
        <w:rPr>
          <w:rFonts w:ascii="Times New Roman CYR" w:hAnsi="Times New Roman CYR" w:cs="Times New Roman CYR"/>
          <w:sz w:val="24"/>
          <w:szCs w:val="24"/>
        </w:rPr>
        <w:t>ше половини її складу. На засiданнi Наглядової ради кожний член Наглядової ради має один голос. Рiшення Наглядової ради приймається простою бiльшiстю голосiв членiв Наглядової ради, якi беруть участь у засiданнi та мають право голосу. При рiвному розподiлу</w:t>
      </w:r>
      <w:r>
        <w:rPr>
          <w:rFonts w:ascii="Times New Roman CYR" w:hAnsi="Times New Roman CYR" w:cs="Times New Roman CYR"/>
          <w:sz w:val="24"/>
          <w:szCs w:val="24"/>
        </w:rPr>
        <w:t xml:space="preserve"> голосiв членiв Наглядової ради пiд час прийняття рiшень, голова Наглядової ради має право вирiшального голосу. Протокол засiдання Наглядової ради оформлюється протягом п'яти днiв пiсля проведення засiдання та пiдписується головуючим на засiданнi. Оцiнка д</w:t>
      </w:r>
      <w:r>
        <w:rPr>
          <w:rFonts w:ascii="Times New Roman CYR" w:hAnsi="Times New Roman CYR" w:cs="Times New Roman CYR"/>
          <w:sz w:val="24"/>
          <w:szCs w:val="24"/>
        </w:rPr>
        <w:t xml:space="preserve">iяльностi наглядової ради, яка зумовила змiни у фiнансово-господарськiй дiяльностi товариства, не </w:t>
      </w:r>
      <w:r>
        <w:rPr>
          <w:rFonts w:ascii="Times New Roman CYR" w:hAnsi="Times New Roman CYR" w:cs="Times New Roman CYR"/>
          <w:sz w:val="24"/>
          <w:szCs w:val="24"/>
        </w:rPr>
        <w:lastRenderedPageBreak/>
        <w:t>проводилась.</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Сiгнаєвськи</w:t>
            </w:r>
            <w:r>
              <w:rPr>
                <w:rFonts w:ascii="Times New Roman CYR" w:hAnsi="Times New Roman CYR" w:cs="Times New Roman CYR"/>
                <w:sz w:val="24"/>
                <w:szCs w:val="24"/>
              </w:rPr>
              <w:t>й Юрiй Миколайович (весь звiтний перiод)</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Директор виконує обов'язки та повноваження згiдно Статуту. Директор здiйснює управлiння поточною дiяльнiстю товариства. До компетенцiї Директора належить вирiшення всiх питань, пов'язаних з керiвництвом поточною дiяльнiстю Товариства, крiм питань, що належ</w:t>
            </w:r>
            <w:r>
              <w:rPr>
                <w:rFonts w:ascii="Times New Roman CYR" w:hAnsi="Times New Roman CYR" w:cs="Times New Roman CYR"/>
              </w:rPr>
              <w:t>ать до виключної компетенцiї загальних зборiв та наглядової ради.</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both"/>
              <w:rPr>
                <w:rFonts w:ascii="Times New Roman CYR" w:hAnsi="Times New Roman CYR" w:cs="Times New Roman CYR"/>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w:t>
            </w:r>
            <w:r>
              <w:rPr>
                <w:rFonts w:ascii="Times New Roman CYR" w:hAnsi="Times New Roman CYR" w:cs="Times New Roman CYR"/>
                <w:sz w:val="24"/>
                <w:szCs w:val="24"/>
              </w:rPr>
              <w:t xml:space="preserve">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Склад та структура виконавчого органу вiдповiдає потребам Товариства. Оцiнка дiяльностi виконавчого органу вiдбувається шляхом затвердження звiту Директора про пiдсумки фiнансово-господарської дiяльностi за звiтний рiк на рiчних Загальних зборах акцiонерiв</w:t>
      </w:r>
      <w:r>
        <w:rPr>
          <w:rFonts w:ascii="Times New Roman CYR" w:hAnsi="Times New Roman CYR" w:cs="Times New Roman CYR"/>
          <w:sz w:val="24"/>
          <w:szCs w:val="24"/>
        </w:rPr>
        <w:t>. За результатами роботи пiдприємства у 2025 роцi збори не проводились.</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компетентний у своїй роботi, вiдповiдає займанiй</w:t>
      </w:r>
      <w:r>
        <w:rPr>
          <w:rFonts w:ascii="Times New Roman CYR" w:hAnsi="Times New Roman CYR" w:cs="Times New Roman CYR"/>
          <w:sz w:val="24"/>
          <w:szCs w:val="24"/>
        </w:rPr>
        <w:t xml:space="preserve"> посадi.</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якi прийнятi виконавчим органом протягом звiтного перiоду, позитивно вплинули на забезпечення досягнення поставлених перед емiтентом цiлей, якi стосуються розвитку пiдприємст</w:t>
      </w:r>
      <w:r>
        <w:rPr>
          <w:rFonts w:ascii="Times New Roman CYR" w:hAnsi="Times New Roman CYR" w:cs="Times New Roman CYR"/>
          <w:sz w:val="24"/>
          <w:szCs w:val="24"/>
        </w:rPr>
        <w:t>ва, збереженню матерiально-технiчної бази пiдприємства.</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дiяльностi виконавчого органу, яка зумовила змiни у фiнансово-господар</w:t>
      </w:r>
      <w:r>
        <w:rPr>
          <w:rFonts w:ascii="Times New Roman CYR" w:hAnsi="Times New Roman CYR" w:cs="Times New Roman CYR"/>
          <w:sz w:val="24"/>
          <w:szCs w:val="24"/>
        </w:rPr>
        <w:t>ськiй дiяльностi товариства, не проводилась.</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Розмір пакета акцій, що знаходиться в </w:t>
            </w:r>
            <w:r>
              <w:rPr>
                <w:rFonts w:ascii="Times New Roman CYR" w:hAnsi="Times New Roman CYR" w:cs="Times New Roman CYR"/>
              </w:rPr>
              <w:lastRenderedPageBreak/>
              <w:t>прямому та (опосередкованому) володінні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Сiгнаєвський Юрiй Миколайович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46,7882</w:t>
            </w:r>
          </w:p>
        </w:tc>
        <w:tc>
          <w:tcPr>
            <w:tcW w:w="1750"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46,7882</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Заремба  Свiтлана  Миколаївна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33,8627</w:t>
            </w:r>
          </w:p>
        </w:tc>
        <w:tc>
          <w:tcPr>
            <w:tcW w:w="1750"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33,8627</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Сiгнаєвський Микола Петрович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7,2962</w:t>
            </w:r>
          </w:p>
        </w:tc>
        <w:tc>
          <w:tcPr>
            <w:tcW w:w="1750"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7,2962</w:t>
            </w:r>
          </w:p>
        </w:tc>
      </w:tr>
    </w:tbl>
    <w:p w:rsidR="00000000" w:rsidRDefault="00A56E62">
      <w:pPr>
        <w:widowControl w:val="0"/>
        <w:autoSpaceDE w:val="0"/>
        <w:autoSpaceDN w:val="0"/>
        <w:adjustRightInd w:val="0"/>
        <w:spacing w:after="0" w:line="240" w:lineRule="auto"/>
        <w:rPr>
          <w:rFonts w:ascii="Times New Roman CYR" w:hAnsi="Times New Roman CYR" w:cs="Times New Roman CYR"/>
        </w:rPr>
      </w:pP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 акцiонерiв</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Власники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w:t>
            </w:r>
            <w:r>
              <w:rPr>
                <w:rFonts w:ascii="Times New Roman CYR" w:hAnsi="Times New Roman CYR" w:cs="Times New Roman CYR"/>
              </w:rPr>
              <w:t>iй депозитарнiй установi.</w:t>
            </w:r>
          </w:p>
        </w:tc>
      </w:tr>
    </w:tbl>
    <w:p w:rsidR="00000000" w:rsidRDefault="00A56E62">
      <w:pPr>
        <w:widowControl w:val="0"/>
        <w:autoSpaceDE w:val="0"/>
        <w:autoSpaceDN w:val="0"/>
        <w:adjustRightInd w:val="0"/>
        <w:spacing w:after="0" w:line="240" w:lineRule="auto"/>
        <w:rPr>
          <w:rFonts w:ascii="Times New Roman CYR" w:hAnsi="Times New Roman CYR" w:cs="Times New Roman CYR"/>
        </w:rPr>
      </w:pPr>
    </w:p>
    <w:p w:rsidR="00000000" w:rsidRDefault="00A56E62">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Частина 10. Інформація щодо порядку призначення/звільнення посадових осіб (крім ради та виконавчого органу)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500"/>
        <w:gridCol w:w="1500"/>
        <w:gridCol w:w="3140"/>
        <w:gridCol w:w="3160"/>
        <w:gridCol w:w="31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посадової особи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14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посади, назва органу, який прийняв рішення про призначення</w:t>
            </w:r>
            <w:r>
              <w:rPr>
                <w:rFonts w:ascii="Times New Roman CYR" w:hAnsi="Times New Roman CYR" w:cs="Times New Roman CYR"/>
              </w:rPr>
              <w:t xml:space="preserve"> посадової особи, дата та номер рішення</w:t>
            </w:r>
          </w:p>
        </w:tc>
        <w:tc>
          <w:tcPr>
            <w:tcW w:w="31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ключових повноважень посадової особи</w:t>
            </w:r>
          </w:p>
        </w:tc>
        <w:tc>
          <w:tcPr>
            <w:tcW w:w="3100"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Порядок призначення та звільнення посадової особи</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Горова Тетяна Iванiвна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314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Головний бухгалтер. Призначена вiдповiдно Наказу вiд 12.12.2017 року безстроково.</w:t>
            </w:r>
          </w:p>
        </w:tc>
        <w:tc>
          <w:tcPr>
            <w:tcW w:w="31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Повноваження ГОЛОВНОГО БУХГАЛТЕРА визначаються Законом України "Про бухгалтерський облiк та фiнансову звiтнiсть в Українi", посадовою iнструкцiєю головного бухгалтера. До повноважень та обов'язкiв посадової особи як головного бухгалтера належать органiзацi</w:t>
            </w:r>
            <w:r>
              <w:rPr>
                <w:rFonts w:ascii="Times New Roman CYR" w:hAnsi="Times New Roman CYR" w:cs="Times New Roman CYR"/>
              </w:rPr>
              <w:t>я i ведення бухгалтерського облiку на пiдприємствi. Обов'язками головного бухгалтера є забезпечення ведення бухгалтерського облiку, дотримуючись єдиних методологiчних засад, встановлених законодавством України, з урахуванням особливостей дiяльностi пiдприє</w:t>
            </w:r>
            <w:r>
              <w:rPr>
                <w:rFonts w:ascii="Times New Roman CYR" w:hAnsi="Times New Roman CYR" w:cs="Times New Roman CYR"/>
              </w:rPr>
              <w:t>мства i технологiї оброблення облiкових даних, органiзацiя контролю за вiдображенням на рахунках бухгалтерського облiку всiх господарських операцiй.</w:t>
            </w:r>
          </w:p>
        </w:tc>
        <w:tc>
          <w:tcPr>
            <w:tcW w:w="3100"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Головний бухгалтер товариства призначається або звiльняється наказом по товариству згiдно чинного законодав</w:t>
            </w:r>
            <w:r>
              <w:rPr>
                <w:rFonts w:ascii="Times New Roman CYR" w:hAnsi="Times New Roman CYR" w:cs="Times New Roman CYR"/>
              </w:rPr>
              <w:t>ства України.</w:t>
            </w:r>
          </w:p>
        </w:tc>
      </w:tr>
    </w:tbl>
    <w:p w:rsidR="00000000" w:rsidRDefault="00A56E62">
      <w:pPr>
        <w:widowControl w:val="0"/>
        <w:autoSpaceDE w:val="0"/>
        <w:autoSpaceDN w:val="0"/>
        <w:adjustRightInd w:val="0"/>
        <w:spacing w:after="0" w:line="240" w:lineRule="auto"/>
        <w:rPr>
          <w:rFonts w:ascii="Times New Roman CYR" w:hAnsi="Times New Roman CYR" w:cs="Times New Roman CYR"/>
        </w:rPr>
      </w:pPr>
    </w:p>
    <w:p w:rsidR="00000000" w:rsidRDefault="00A56E62">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A56E6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Частина 14. Інформація від суб'єкта аудиторської діяльності з урахуванням вимог, передбачених пунктом 45 Положення</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пункту 45 Положення, приватнi акцiонернi товариства (крiм тих, що становлять суспiльний iнтерес)</w:t>
      </w:r>
      <w:r>
        <w:rPr>
          <w:rFonts w:ascii="Times New Roman CYR" w:hAnsi="Times New Roman CYR" w:cs="Times New Roman CYR"/>
          <w:sz w:val="24"/>
          <w:szCs w:val="24"/>
        </w:rPr>
        <w:t xml:space="preserve"> мають право розкривати рiчну фiнансову звiтнiсть без перевiрки суб'єктом аудиторської дiяльностi.</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15. Інформація, передбачена законодавством про діяльність та регулювання діяльності на ринку фінансових послуг</w:t>
      </w:r>
    </w:p>
    <w:p w:rsidR="00000000" w:rsidRDefault="00A56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VI. Список посилань на регульовану інформацію, яка була розкрита протягом звітного року</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прийняття рішення про попереднє надання згоди на вчинення значних правочинів</w:t>
            </w:r>
          </w:p>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прийняття загальними зборами рiшення про попереднє надання згоди на вчинення значних правочинiв - 30.10.2025 року. Вiдомостi щодо правочинiв iз зазнач</w:t>
            </w:r>
            <w:r>
              <w:rPr>
                <w:rFonts w:ascii="Times New Roman CYR" w:hAnsi="Times New Roman CYR" w:cs="Times New Roman CYR"/>
              </w:rPr>
              <w:t>енням, зокрема, характеру правочинiв: продаж рухомого та нерухомого майна, вiдчуження (продаж) земельних дiлянок, подiл земельних дiлянок, вступ майном, земельними дiлянками Товариства до iнших пiдприємств та товариств, отримання кредитiв,  та здiйснення б</w:t>
            </w:r>
            <w:r>
              <w:rPr>
                <w:rFonts w:ascii="Times New Roman CYR" w:hAnsi="Times New Roman CYR" w:cs="Times New Roman CYR"/>
              </w:rPr>
              <w:t>удь-яких iнших значних правочинiв з iншими суб'єктами господарювання.</w:t>
            </w:r>
          </w:p>
        </w:tc>
        <w:tc>
          <w:tcPr>
            <w:tcW w:w="150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30.10.2025</w:t>
            </w:r>
          </w:p>
        </w:tc>
        <w:tc>
          <w:tcPr>
            <w:tcW w:w="55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https://yakushinecke.pat.ua/emitents/reports/special/21426</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5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 рiшенням рiчних Загальних зборiв акцiонерiв ПРАТ "ЯКУШИНЕЦЬКЕ" 30.10.2025 року </w:t>
            </w:r>
            <w:r>
              <w:rPr>
                <w:rFonts w:ascii="Times New Roman CYR" w:hAnsi="Times New Roman CYR" w:cs="Times New Roman CYR"/>
              </w:rPr>
              <w:lastRenderedPageBreak/>
              <w:t>припиненi повноваження Заремби С.М., Сiгнаєвської М.I., Сiгнаєвського Р.Ю. Обранi на посади: голова Наглядової ради Заремба С.М,, члени - Сiгнаєвська М.I., Сiгнаєвський Р.Ю.</w:t>
            </w:r>
          </w:p>
        </w:tc>
        <w:tc>
          <w:tcPr>
            <w:tcW w:w="150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30.10.2025</w:t>
            </w:r>
          </w:p>
        </w:tc>
        <w:tc>
          <w:tcPr>
            <w:tcW w:w="55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https://yakushinecke.pat.ua/emitents/reports/special/21425</w:t>
            </w:r>
          </w:p>
        </w:tc>
      </w:tr>
    </w:tbl>
    <w:p w:rsidR="00000000" w:rsidRDefault="00A56E62">
      <w:pPr>
        <w:widowControl w:val="0"/>
        <w:autoSpaceDE w:val="0"/>
        <w:autoSpaceDN w:val="0"/>
        <w:adjustRightInd w:val="0"/>
        <w:spacing w:after="0" w:line="240" w:lineRule="auto"/>
        <w:rPr>
          <w:rFonts w:ascii="Times New Roman CYR" w:hAnsi="Times New Roman CYR" w:cs="Times New Roman CYR"/>
        </w:rPr>
      </w:pPr>
    </w:p>
    <w:p w:rsidR="00000000" w:rsidRDefault="00A56E62">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CYR" w:hAnsi="Times New Roman CYR" w:cs="Times New Roman CYR"/>
          <w:b/>
          <w:bCs/>
          <w:i/>
          <w:iCs/>
          <w:sz w:val="24"/>
          <w:szCs w:val="24"/>
        </w:rPr>
        <w:t>3. Інша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проведення загальних зборів</w:t>
            </w:r>
          </w:p>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ПОВIДОМЛЕННЯ про проведення (скликання) загальних зборiв акцiонерного товариства 27.10.2025 р.</w:t>
            </w:r>
          </w:p>
        </w:tc>
        <w:tc>
          <w:tcPr>
            <w:tcW w:w="1500" w:type="dxa"/>
            <w:tcBorders>
              <w:top w:val="single" w:sz="6" w:space="0" w:color="auto"/>
              <w:left w:val="single" w:sz="6" w:space="0" w:color="auto"/>
              <w:bottom w:val="single" w:sz="6" w:space="0" w:color="auto"/>
              <w:right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24.09.2025</w:t>
            </w:r>
          </w:p>
        </w:tc>
        <w:tc>
          <w:tcPr>
            <w:tcW w:w="5500" w:type="dxa"/>
            <w:tcBorders>
              <w:top w:val="single" w:sz="6" w:space="0" w:color="auto"/>
              <w:left w:val="single" w:sz="6" w:space="0" w:color="auto"/>
              <w:bottom w:val="single" w:sz="6" w:space="0" w:color="auto"/>
            </w:tcBorders>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https://smida.gov.ua/db/feed/137227</w:t>
            </w:r>
          </w:p>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https://yakushinecke.pat.ua/documents/povidomlennya-pro-zbori?doc=117406</w:t>
            </w:r>
          </w:p>
        </w:tc>
      </w:tr>
    </w:tbl>
    <w:p w:rsidR="00000000" w:rsidRDefault="00A56E62">
      <w:pPr>
        <w:widowControl w:val="0"/>
        <w:autoSpaceDE w:val="0"/>
        <w:autoSpaceDN w:val="0"/>
        <w:adjustRightInd w:val="0"/>
        <w:spacing w:after="0" w:line="240" w:lineRule="auto"/>
        <w:rPr>
          <w:rFonts w:ascii="Times New Roman CYR" w:hAnsi="Times New Roman CYR" w:cs="Times New Roman CYR"/>
        </w:rPr>
      </w:pP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000000" w:rsidRDefault="00A56E6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2026.01.01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"ЯКУШИНЕЦЬКЕ"</w:t>
            </w:r>
          </w:p>
        </w:tc>
        <w:tc>
          <w:tcPr>
            <w:tcW w:w="1990" w:type="dxa"/>
            <w:tcBorders>
              <w:top w:val="nil"/>
              <w:left w:val="nil"/>
              <w:bottom w:val="nil"/>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01546988</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UA05020310030075295</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00000">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Вирощування зернових культур (крім рису), бобових культур і насіння олійних культур</w:t>
            </w:r>
          </w:p>
        </w:tc>
        <w:tc>
          <w:tcPr>
            <w:tcW w:w="1990" w:type="dxa"/>
            <w:tcBorders>
              <w:top w:val="nil"/>
              <w:left w:val="nil"/>
              <w:bottom w:val="nil"/>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01.11</w:t>
            </w:r>
          </w:p>
        </w:tc>
      </w:tr>
    </w:tbl>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9</w:t>
      </w:r>
    </w:p>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23223, Вінницька обл., Вiнницький р-н, с. Зарванцi, вул.Акцiонерна,9, 0980241696</w:t>
      </w:r>
    </w:p>
    <w:p w:rsidR="00000000" w:rsidRDefault="00A56E6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6E6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31.12.2025 p.</w:t>
      </w:r>
    </w:p>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A56E62">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1656,1</w:t>
            </w:r>
          </w:p>
        </w:tc>
        <w:tc>
          <w:tcPr>
            <w:tcW w:w="1645" w:type="dxa"/>
            <w:gridSpan w:val="2"/>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1575,2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6302,6</w:t>
            </w:r>
          </w:p>
        </w:tc>
        <w:tc>
          <w:tcPr>
            <w:tcW w:w="1645" w:type="dxa"/>
            <w:gridSpan w:val="2"/>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6302,6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(4646,5)</w:t>
            </w:r>
          </w:p>
        </w:tc>
        <w:tc>
          <w:tcPr>
            <w:tcW w:w="1645" w:type="dxa"/>
            <w:gridSpan w:val="2"/>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(4727,4)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1656,1</w:t>
            </w:r>
          </w:p>
        </w:tc>
        <w:tc>
          <w:tcPr>
            <w:tcW w:w="1645" w:type="dxa"/>
            <w:gridSpan w:val="2"/>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1575,2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4732,1</w:t>
            </w:r>
          </w:p>
        </w:tc>
        <w:tc>
          <w:tcPr>
            <w:tcW w:w="1645" w:type="dxa"/>
            <w:gridSpan w:val="2"/>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5343,1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2968,4</w:t>
            </w:r>
          </w:p>
        </w:tc>
        <w:tc>
          <w:tcPr>
            <w:tcW w:w="1645" w:type="dxa"/>
            <w:gridSpan w:val="2"/>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3044,4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39,2</w:t>
            </w:r>
          </w:p>
        </w:tc>
        <w:tc>
          <w:tcPr>
            <w:tcW w:w="1645" w:type="dxa"/>
            <w:gridSpan w:val="2"/>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17,2</w:t>
            </w:r>
          </w:p>
        </w:tc>
        <w:tc>
          <w:tcPr>
            <w:tcW w:w="1645" w:type="dxa"/>
            <w:gridSpan w:val="2"/>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w:t>
            </w:r>
          </w:p>
        </w:tc>
        <w:tc>
          <w:tcPr>
            <w:tcW w:w="1645" w:type="dxa"/>
            <w:gridSpan w:val="2"/>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195,8</w:t>
            </w:r>
          </w:p>
        </w:tc>
        <w:tc>
          <w:tcPr>
            <w:tcW w:w="1645" w:type="dxa"/>
            <w:gridSpan w:val="2"/>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4985,8</w:t>
            </w:r>
          </w:p>
        </w:tc>
        <w:tc>
          <w:tcPr>
            <w:tcW w:w="1645" w:type="dxa"/>
            <w:gridSpan w:val="2"/>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5562,7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6641,9</w:t>
            </w:r>
          </w:p>
        </w:tc>
        <w:tc>
          <w:tcPr>
            <w:tcW w:w="1645" w:type="dxa"/>
            <w:gridSpan w:val="2"/>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7137,9</w:t>
            </w:r>
          </w:p>
        </w:tc>
      </w:tr>
    </w:tbl>
    <w:p w:rsidR="00000000" w:rsidRDefault="00A56E62">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682,6</w:t>
            </w:r>
          </w:p>
        </w:tc>
        <w:tc>
          <w:tcPr>
            <w:tcW w:w="1645"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2484,4</w:t>
            </w:r>
          </w:p>
        </w:tc>
        <w:tc>
          <w:tcPr>
            <w:tcW w:w="1645"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2484,4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40,3</w:t>
            </w:r>
          </w:p>
        </w:tc>
        <w:tc>
          <w:tcPr>
            <w:tcW w:w="1645"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3163,9</w:t>
            </w:r>
          </w:p>
        </w:tc>
        <w:tc>
          <w:tcPr>
            <w:tcW w:w="1645"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3188,7</w:t>
            </w:r>
          </w:p>
        </w:tc>
      </w:tr>
      <w:tr w:rsidR="00000000">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6371,2</w:t>
            </w:r>
          </w:p>
        </w:tc>
        <w:tc>
          <w:tcPr>
            <w:tcW w:w="1645"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6396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73,6</w:t>
            </w:r>
          </w:p>
        </w:tc>
        <w:tc>
          <w:tcPr>
            <w:tcW w:w="1645"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r>
              <w:rPr>
                <w:rFonts w:ascii="Times New Roman CYR" w:hAnsi="Times New Roman CYR" w:cs="Times New Roman CYR"/>
              </w:rPr>
              <w:t>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w:t>
            </w:r>
          </w:p>
        </w:tc>
        <w:tc>
          <w:tcPr>
            <w:tcW w:w="1645"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484,2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78,1</w:t>
            </w:r>
          </w:p>
        </w:tc>
        <w:tc>
          <w:tcPr>
            <w:tcW w:w="1645"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w:t>
            </w:r>
          </w:p>
        </w:tc>
        <w:tc>
          <w:tcPr>
            <w:tcW w:w="1645"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w:t>
            </w:r>
          </w:p>
        </w:tc>
        <w:tc>
          <w:tcPr>
            <w:tcW w:w="1645"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49,4</w:t>
            </w:r>
          </w:p>
        </w:tc>
        <w:tc>
          <w:tcPr>
            <w:tcW w:w="1645"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270,7</w:t>
            </w:r>
          </w:p>
        </w:tc>
        <w:tc>
          <w:tcPr>
            <w:tcW w:w="1645"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741,9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6641,9</w:t>
            </w:r>
          </w:p>
        </w:tc>
        <w:tc>
          <w:tcPr>
            <w:tcW w:w="1645"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7137,9</w:t>
            </w:r>
          </w:p>
        </w:tc>
      </w:tr>
    </w:tbl>
    <w:p w:rsidR="00000000" w:rsidRDefault="00A56E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A56E62">
      <w:pPr>
        <w:widowControl w:val="0"/>
        <w:autoSpaceDE w:val="0"/>
        <w:autoSpaceDN w:val="0"/>
        <w:adjustRightInd w:val="0"/>
        <w:spacing w:after="0" w:line="240" w:lineRule="auto"/>
        <w:rPr>
          <w:rFonts w:ascii="Times New Roman CYR" w:hAnsi="Times New Roman CYR" w:cs="Times New Roman CYR"/>
        </w:rPr>
      </w:pPr>
    </w:p>
    <w:p w:rsidR="00000000" w:rsidRDefault="00A56E62">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A56E6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A56E62">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8677,9</w:t>
            </w:r>
          </w:p>
        </w:tc>
        <w:tc>
          <w:tcPr>
            <w:tcW w:w="1645" w:type="dxa"/>
            <w:gridSpan w:val="2"/>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6598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8677,9</w:t>
            </w:r>
          </w:p>
        </w:tc>
        <w:tc>
          <w:tcPr>
            <w:tcW w:w="1645" w:type="dxa"/>
            <w:gridSpan w:val="2"/>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6598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(6275,4)</w:t>
            </w:r>
          </w:p>
        </w:tc>
        <w:tc>
          <w:tcPr>
            <w:tcW w:w="1645" w:type="dxa"/>
            <w:gridSpan w:val="2"/>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(4134,4)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(2239,9)</w:t>
            </w:r>
          </w:p>
        </w:tc>
        <w:tc>
          <w:tcPr>
            <w:tcW w:w="1645" w:type="dxa"/>
            <w:gridSpan w:val="2"/>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(1295,7)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(137,8)</w:t>
            </w:r>
          </w:p>
        </w:tc>
        <w:tc>
          <w:tcPr>
            <w:tcW w:w="1645" w:type="dxa"/>
            <w:gridSpan w:val="2"/>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(8653,1)</w:t>
            </w:r>
          </w:p>
        </w:tc>
        <w:tc>
          <w:tcPr>
            <w:tcW w:w="1645" w:type="dxa"/>
            <w:gridSpan w:val="2"/>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(5442,2)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24,8</w:t>
            </w:r>
          </w:p>
        </w:tc>
        <w:tc>
          <w:tcPr>
            <w:tcW w:w="1645" w:type="dxa"/>
            <w:gridSpan w:val="2"/>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24,8</w:t>
            </w:r>
          </w:p>
        </w:tc>
        <w:tc>
          <w:tcPr>
            <w:tcW w:w="1645" w:type="dxa"/>
            <w:gridSpan w:val="2"/>
            <w:tcBorders>
              <w:top w:val="single" w:sz="6" w:space="0" w:color="auto"/>
              <w:left w:val="single" w:sz="6" w:space="0" w:color="auto"/>
              <w:bottom w:val="single" w:sz="6" w:space="0" w:color="auto"/>
            </w:tcBorders>
            <w:vAlign w:val="center"/>
          </w:tcPr>
          <w:p w:rsidR="00000000" w:rsidRDefault="00A56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1155,8</w:t>
            </w:r>
          </w:p>
        </w:tc>
      </w:tr>
    </w:tbl>
    <w:p w:rsidR="00000000" w:rsidRDefault="00A56E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A56E62">
      <w:pPr>
        <w:widowControl w:val="0"/>
        <w:autoSpaceDE w:val="0"/>
        <w:autoSpaceDN w:val="0"/>
        <w:adjustRightInd w:val="0"/>
        <w:spacing w:after="0" w:line="240" w:lineRule="auto"/>
        <w:jc w:val="both"/>
        <w:rPr>
          <w:rFonts w:ascii="Times New Roman CYR" w:hAnsi="Times New Roman CYR" w:cs="Times New Roman CYR"/>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Сiгнаєвський Юрiй Миколайович</w:t>
      </w:r>
    </w:p>
    <w:p w:rsidR="00000000" w:rsidRDefault="00A56E62">
      <w:pPr>
        <w:widowControl w:val="0"/>
        <w:autoSpaceDE w:val="0"/>
        <w:autoSpaceDN w:val="0"/>
        <w:adjustRightInd w:val="0"/>
        <w:spacing w:after="0" w:line="240" w:lineRule="auto"/>
        <w:jc w:val="both"/>
        <w:rPr>
          <w:rFonts w:ascii="Times New Roman CYR" w:hAnsi="Times New Roman CYR" w:cs="Times New Roman CYR"/>
        </w:rPr>
      </w:pPr>
    </w:p>
    <w:p w:rsidR="00000000" w:rsidRDefault="00A56E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Горова Тетяна Iванiвна</w:t>
      </w:r>
    </w:p>
    <w:p w:rsidR="00000000" w:rsidRDefault="00A56E62">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A56E62">
      <w:pPr>
        <w:widowControl w:val="0"/>
        <w:autoSpaceDE w:val="0"/>
        <w:autoSpaceDN w:val="0"/>
        <w:adjustRightInd w:val="0"/>
        <w:spacing w:after="0" w:line="240" w:lineRule="auto"/>
        <w:rPr>
          <w:rFonts w:ascii="Times New Roman CYR" w:hAnsi="Times New Roman CYR" w:cs="Times New Roman CYR"/>
        </w:rPr>
      </w:pPr>
    </w:p>
    <w:p w:rsidR="00A56E62" w:rsidRDefault="00A56E62">
      <w:pPr>
        <w:widowControl w:val="0"/>
        <w:autoSpaceDE w:val="0"/>
        <w:autoSpaceDN w:val="0"/>
        <w:adjustRightInd w:val="0"/>
        <w:spacing w:after="0" w:line="240" w:lineRule="auto"/>
        <w:rPr>
          <w:rFonts w:ascii="Times New Roman CYR" w:hAnsi="Times New Roman CYR" w:cs="Times New Roman CYR"/>
        </w:rPr>
      </w:pPr>
    </w:p>
    <w:sectPr w:rsidR="00A56E62">
      <w:pgSz w:w="12240" w:h="15840"/>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8D"/>
    <w:rsid w:val="00944A8D"/>
    <w:rsid w:val="00A56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B0FBFD2-80FA-4254-827A-2D1DA44F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10264</Words>
  <Characters>58507</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2026-04-17T14:15:00Z</dcterms:created>
  <dcterms:modified xsi:type="dcterms:W3CDTF">2026-04-17T14:15:00Z</dcterms:modified>
</cp:coreProperties>
</file>